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28"/>
          <w:szCs w:val="30"/>
        </w:rPr>
      </w:pPr>
      <w:r>
        <w:rPr>
          <w:rFonts w:hint="eastAsia" w:ascii="黑体" w:hAnsi="黑体" w:eastAsia="黑体"/>
          <w:sz w:val="28"/>
          <w:szCs w:val="30"/>
          <w:lang w:val="en-US" w:eastAsia="zh-CN"/>
        </w:rPr>
        <w:t>上海市教育系统工会理论研究会2016年立项课题</w:t>
      </w:r>
      <w:r>
        <w:rPr>
          <w:rFonts w:hint="eastAsia" w:ascii="黑体" w:hAnsi="黑体" w:eastAsia="黑体"/>
          <w:sz w:val="28"/>
          <w:szCs w:val="30"/>
        </w:rPr>
        <w:t>：</w:t>
      </w:r>
    </w:p>
    <w:p>
      <w:pPr>
        <w:spacing w:line="300" w:lineRule="auto"/>
        <w:rPr>
          <w:rFonts w:ascii="黑体" w:hAnsi="黑体" w:eastAsia="黑体"/>
          <w:sz w:val="30"/>
          <w:szCs w:val="30"/>
        </w:rPr>
      </w:pPr>
    </w:p>
    <w:p>
      <w:pPr>
        <w:keepNext w:val="0"/>
        <w:keepLines w:val="0"/>
        <w:pageBreakBefore w:val="0"/>
        <w:widowControl w:val="0"/>
        <w:kinsoku/>
        <w:wordWrap/>
        <w:overflowPunct/>
        <w:topLinePunct w:val="0"/>
        <w:autoSpaceDE/>
        <w:autoSpaceDN/>
        <w:bidi w:val="0"/>
        <w:adjustRightInd/>
        <w:snapToGrid/>
        <w:spacing w:line="240" w:lineRule="auto"/>
        <w:ind w:right="0" w:rightChars="0"/>
        <w:jc w:val="center"/>
        <w:textAlignment w:val="auto"/>
        <w:outlineLvl w:val="9"/>
        <w:rPr>
          <w:rFonts w:hint="eastAsia" w:ascii="宋体" w:hAnsi="宋体"/>
          <w:b/>
          <w:color w:val="000000"/>
          <w:kern w:val="0"/>
          <w:sz w:val="52"/>
          <w:szCs w:val="56"/>
        </w:rPr>
      </w:pPr>
      <w:r>
        <w:rPr>
          <w:rFonts w:hint="eastAsia" w:ascii="宋体" w:hAnsi="宋体"/>
          <w:b/>
          <w:color w:val="000000"/>
          <w:kern w:val="0"/>
          <w:sz w:val="52"/>
          <w:szCs w:val="56"/>
        </w:rPr>
        <w:t>上海职业院校教职工状况及其诉求的调查研究</w:t>
      </w:r>
    </w:p>
    <w:p>
      <w:pPr>
        <w:spacing w:line="300" w:lineRule="auto"/>
        <w:jc w:val="center"/>
        <w:rPr>
          <w:rFonts w:ascii="宋体"/>
          <w:b/>
          <w:bCs/>
          <w:sz w:val="52"/>
          <w:szCs w:val="56"/>
        </w:rPr>
      </w:pPr>
    </w:p>
    <w:p>
      <w:pPr>
        <w:spacing w:line="300" w:lineRule="auto"/>
        <w:rPr>
          <w:rFonts w:ascii="宋体"/>
        </w:rPr>
      </w:pPr>
    </w:p>
    <w:p>
      <w:pPr>
        <w:jc w:val="center"/>
        <w:rPr>
          <w:rFonts w:ascii="黑体" w:eastAsia="黑体"/>
          <w:b/>
          <w:bCs/>
          <w:sz w:val="84"/>
          <w:szCs w:val="84"/>
        </w:rPr>
      </w:pPr>
    </w:p>
    <w:p>
      <w:pPr>
        <w:jc w:val="center"/>
        <w:rPr>
          <w:rFonts w:hint="eastAsia" w:ascii="黑体" w:eastAsia="黑体"/>
          <w:b/>
          <w:bCs/>
          <w:sz w:val="96"/>
          <w:szCs w:val="84"/>
          <w:lang w:eastAsia="zh-CN"/>
        </w:rPr>
      </w:pPr>
      <w:r>
        <w:rPr>
          <w:rFonts w:hint="eastAsia" w:ascii="黑体" w:eastAsia="黑体"/>
          <w:b/>
          <w:bCs/>
          <w:sz w:val="96"/>
          <w:szCs w:val="84"/>
          <w:lang w:eastAsia="zh-CN"/>
        </w:rPr>
        <w:t>结</w:t>
      </w:r>
    </w:p>
    <w:p>
      <w:pPr>
        <w:jc w:val="center"/>
        <w:rPr>
          <w:rFonts w:hint="eastAsia" w:ascii="黑体" w:eastAsia="黑体"/>
          <w:b/>
          <w:bCs/>
          <w:sz w:val="96"/>
          <w:szCs w:val="84"/>
          <w:lang w:eastAsia="zh-CN"/>
        </w:rPr>
      </w:pPr>
      <w:r>
        <w:rPr>
          <w:rFonts w:hint="eastAsia" w:ascii="黑体" w:eastAsia="黑体"/>
          <w:b/>
          <w:bCs/>
          <w:sz w:val="96"/>
          <w:szCs w:val="84"/>
          <w:lang w:eastAsia="zh-CN"/>
        </w:rPr>
        <w:t>题</w:t>
      </w:r>
    </w:p>
    <w:p>
      <w:pPr>
        <w:jc w:val="center"/>
        <w:rPr>
          <w:rFonts w:ascii="黑体" w:eastAsia="黑体"/>
          <w:b/>
          <w:bCs/>
          <w:sz w:val="96"/>
          <w:szCs w:val="84"/>
        </w:rPr>
      </w:pPr>
      <w:r>
        <w:rPr>
          <w:rFonts w:hint="eastAsia" w:ascii="黑体" w:hAnsi="宋体" w:eastAsia="黑体" w:cs="宋体"/>
          <w:b/>
          <w:bCs/>
          <w:sz w:val="96"/>
          <w:szCs w:val="84"/>
        </w:rPr>
        <w:t>报</w:t>
      </w:r>
    </w:p>
    <w:p>
      <w:pPr>
        <w:jc w:val="center"/>
        <w:rPr>
          <w:rFonts w:ascii="黑体" w:eastAsia="黑体"/>
          <w:b/>
          <w:bCs/>
          <w:sz w:val="96"/>
          <w:szCs w:val="84"/>
        </w:rPr>
      </w:pPr>
      <w:r>
        <w:rPr>
          <w:rFonts w:hint="eastAsia" w:ascii="黑体" w:hAnsi="宋体" w:eastAsia="黑体" w:cs="宋体"/>
          <w:b/>
          <w:bCs/>
          <w:sz w:val="96"/>
          <w:szCs w:val="84"/>
        </w:rPr>
        <w:t>告</w:t>
      </w:r>
    </w:p>
    <w:p>
      <w:pPr>
        <w:spacing w:line="300" w:lineRule="auto"/>
        <w:rPr>
          <w:rFonts w:ascii="黑体" w:hAnsi="黑体" w:eastAsia="黑体"/>
          <w:sz w:val="30"/>
          <w:szCs w:val="30"/>
        </w:rPr>
      </w:pPr>
    </w:p>
    <w:p>
      <w:pPr>
        <w:spacing w:line="300" w:lineRule="auto"/>
        <w:rPr>
          <w:rFonts w:ascii="宋体"/>
        </w:rPr>
      </w:pPr>
    </w:p>
    <w:p>
      <w:pPr>
        <w:spacing w:line="300" w:lineRule="auto"/>
        <w:rPr>
          <w:rFonts w:ascii="宋体"/>
        </w:rPr>
      </w:pPr>
    </w:p>
    <w:p>
      <w:pPr>
        <w:spacing w:line="300" w:lineRule="auto"/>
        <w:jc w:val="center"/>
        <w:rPr>
          <w:rFonts w:ascii="华文新魏" w:hAnsi="华文中宋" w:eastAsia="华文新魏" w:cs="华文新魏"/>
          <w:b/>
          <w:bCs/>
          <w:sz w:val="28"/>
          <w:szCs w:val="28"/>
        </w:rPr>
      </w:pPr>
    </w:p>
    <w:p>
      <w:pPr>
        <w:spacing w:line="300" w:lineRule="auto"/>
        <w:jc w:val="center"/>
        <w:rPr>
          <w:rFonts w:ascii="华文新魏" w:hAnsi="华文中宋" w:eastAsia="华文新魏" w:cs="华文新魏"/>
          <w:b/>
          <w:bCs/>
          <w:sz w:val="28"/>
          <w:szCs w:val="28"/>
        </w:rPr>
      </w:pPr>
      <w:r>
        <w:rPr>
          <w:rFonts w:hint="eastAsia" w:ascii="黑体" w:hAnsi="黑体" w:eastAsia="黑体"/>
          <w:sz w:val="28"/>
          <w:szCs w:val="30"/>
        </w:rPr>
        <w:t>“上海职业院校教职工状况及其诉求的调查研究”课题组</w:t>
      </w:r>
    </w:p>
    <w:p>
      <w:pPr>
        <w:spacing w:line="300" w:lineRule="auto"/>
        <w:jc w:val="center"/>
        <w:rPr>
          <w:rFonts w:ascii="华文新魏" w:hAnsi="华文中宋" w:eastAsia="华文新魏" w:cs="华文新魏"/>
          <w:b/>
          <w:bCs/>
          <w:sz w:val="28"/>
          <w:szCs w:val="28"/>
        </w:rPr>
      </w:pPr>
      <w:r>
        <w:rPr>
          <w:rFonts w:ascii="华文新魏" w:hAnsi="华文中宋" w:eastAsia="华文新魏" w:cs="华文新魏"/>
          <w:b/>
          <w:bCs/>
          <w:sz w:val="28"/>
          <w:szCs w:val="28"/>
        </w:rPr>
        <w:t>201</w:t>
      </w:r>
      <w:r>
        <w:rPr>
          <w:rFonts w:hint="eastAsia" w:ascii="华文新魏" w:hAnsi="华文中宋" w:eastAsia="华文新魏" w:cs="华文新魏"/>
          <w:b/>
          <w:bCs/>
          <w:sz w:val="28"/>
          <w:szCs w:val="28"/>
          <w:lang w:val="en-US" w:eastAsia="zh-CN"/>
        </w:rPr>
        <w:t>6</w:t>
      </w:r>
      <w:r>
        <w:rPr>
          <w:rFonts w:hint="eastAsia" w:ascii="华文新魏" w:hAnsi="华文中宋" w:eastAsia="华文新魏" w:cs="华文新魏"/>
          <w:b/>
          <w:bCs/>
          <w:sz w:val="28"/>
          <w:szCs w:val="28"/>
        </w:rPr>
        <w:t>年12月</w:t>
      </w:r>
    </w:p>
    <w:p/>
    <w:p/>
    <w:p/>
    <w:p/>
    <w:p>
      <w:pPr>
        <w:pStyle w:val="17"/>
        <w:jc w:val="center"/>
        <w:rPr>
          <w:color w:val="000000"/>
          <w:sz w:val="44"/>
          <w:szCs w:val="44"/>
          <w:lang w:val="zh-CN"/>
        </w:rPr>
      </w:pPr>
      <w:r>
        <w:rPr>
          <w:color w:val="000000"/>
          <w:sz w:val="44"/>
          <w:szCs w:val="44"/>
          <w:lang w:val="zh-CN"/>
        </w:rPr>
        <w:t>目</w:t>
      </w:r>
      <w:r>
        <w:rPr>
          <w:rFonts w:hint="eastAsia"/>
          <w:color w:val="000000"/>
          <w:sz w:val="44"/>
          <w:szCs w:val="44"/>
          <w:lang w:val="zh-CN"/>
        </w:rPr>
        <w:t xml:space="preserve">  </w:t>
      </w:r>
      <w:r>
        <w:rPr>
          <w:color w:val="000000"/>
          <w:sz w:val="44"/>
          <w:szCs w:val="44"/>
          <w:lang w:val="zh-CN"/>
        </w:rPr>
        <w:t>录</w:t>
      </w:r>
    </w:p>
    <w:p>
      <w:pPr>
        <w:rPr>
          <w:lang w:val="zh-CN"/>
        </w:rPr>
      </w:pPr>
    </w:p>
    <w:p>
      <w:pPr>
        <w:pStyle w:val="7"/>
        <w:tabs>
          <w:tab w:val="right" w:leader="dot" w:pos="8296"/>
        </w:tabs>
        <w:rPr>
          <w:rFonts w:ascii="Calibri" w:hAnsi="Calibri" w:cs="黑体"/>
          <w:b w:val="0"/>
          <w:sz w:val="21"/>
          <w:szCs w:val="22"/>
        </w:rPr>
      </w:pPr>
      <w:r>
        <w:rPr>
          <w:b w:val="0"/>
        </w:rPr>
        <w:fldChar w:fldCharType="begin"/>
      </w:r>
      <w:r>
        <w:rPr>
          <w:b w:val="0"/>
        </w:rPr>
        <w:instrText xml:space="preserve"> TOC \o "1-3" \h \z \u </w:instrText>
      </w:r>
      <w:r>
        <w:rPr>
          <w:b w:val="0"/>
        </w:rPr>
        <w:fldChar w:fldCharType="separate"/>
      </w:r>
      <w:r>
        <w:fldChar w:fldCharType="begin"/>
      </w:r>
      <w:r>
        <w:instrText xml:space="preserve"> HYPERLINK \l "_Toc411199097" </w:instrText>
      </w:r>
      <w:r>
        <w:fldChar w:fldCharType="separate"/>
      </w:r>
      <w:r>
        <w:rPr>
          <w:rStyle w:val="12"/>
          <w:rFonts w:hint="eastAsia" w:ascii="宋体" w:hAnsi="宋体"/>
        </w:rPr>
        <w:t>一、研究</w:t>
      </w:r>
      <w:r>
        <w:rPr>
          <w:rStyle w:val="12"/>
          <w:rFonts w:hint="eastAsia" w:ascii="宋体" w:hAnsi="宋体"/>
          <w:lang w:eastAsia="zh-CN"/>
        </w:rPr>
        <w:t>现状</w:t>
      </w:r>
      <w:r>
        <w:rPr>
          <w:rStyle w:val="12"/>
          <w:rFonts w:hint="eastAsia" w:ascii="宋体" w:hAnsi="宋体"/>
        </w:rPr>
        <w:t>与</w:t>
      </w:r>
      <w:r>
        <w:rPr>
          <w:rStyle w:val="12"/>
          <w:rFonts w:hint="eastAsia" w:ascii="宋体" w:hAnsi="宋体"/>
          <w:lang w:eastAsia="zh-CN"/>
        </w:rPr>
        <w:t>意义</w:t>
      </w:r>
      <w:r>
        <w:tab/>
      </w:r>
      <w:r>
        <w:fldChar w:fldCharType="begin"/>
      </w:r>
      <w:r>
        <w:instrText xml:space="preserve"> PAGEREF _Toc411199097 \h </w:instrText>
      </w:r>
      <w:r>
        <w:fldChar w:fldCharType="separate"/>
      </w:r>
      <w:r>
        <w:t>2</w:t>
      </w:r>
      <w:r>
        <w:fldChar w:fldCharType="end"/>
      </w:r>
      <w:r>
        <w:fldChar w:fldCharType="end"/>
      </w:r>
    </w:p>
    <w:p>
      <w:pPr>
        <w:pStyle w:val="9"/>
        <w:tabs>
          <w:tab w:val="right" w:leader="dot" w:pos="8296"/>
        </w:tabs>
        <w:rPr>
          <w:rFonts w:ascii="Calibri" w:hAnsi="Calibri" w:cs="黑体"/>
          <w:sz w:val="21"/>
          <w:szCs w:val="22"/>
        </w:rPr>
      </w:pPr>
      <w:r>
        <w:fldChar w:fldCharType="begin"/>
      </w:r>
      <w:r>
        <w:instrText xml:space="preserve"> HYPERLINK \l "_Toc411199098" </w:instrText>
      </w:r>
      <w:r>
        <w:fldChar w:fldCharType="separate"/>
      </w:r>
      <w:r>
        <w:rPr>
          <w:rStyle w:val="12"/>
          <w:rFonts w:hint="eastAsia" w:ascii="宋体" w:hAnsi="宋体"/>
        </w:rPr>
        <w:t>（一）研究</w:t>
      </w:r>
      <w:r>
        <w:rPr>
          <w:rStyle w:val="12"/>
          <w:rFonts w:hint="eastAsia" w:ascii="宋体" w:hAnsi="宋体"/>
          <w:lang w:eastAsia="zh-CN"/>
        </w:rPr>
        <w:t>现状</w:t>
      </w:r>
      <w:r>
        <w:tab/>
      </w:r>
      <w:r>
        <w:fldChar w:fldCharType="begin"/>
      </w:r>
      <w:r>
        <w:instrText xml:space="preserve"> PAGEREF _Toc411199098 \h </w:instrText>
      </w:r>
      <w:r>
        <w:fldChar w:fldCharType="separate"/>
      </w:r>
      <w:r>
        <w:t>2</w:t>
      </w:r>
      <w:r>
        <w:fldChar w:fldCharType="end"/>
      </w:r>
      <w:r>
        <w:fldChar w:fldCharType="end"/>
      </w:r>
    </w:p>
    <w:p>
      <w:pPr>
        <w:pStyle w:val="9"/>
        <w:tabs>
          <w:tab w:val="right" w:leader="dot" w:pos="8296"/>
        </w:tabs>
        <w:rPr>
          <w:rFonts w:ascii="Calibri" w:hAnsi="Calibri" w:cs="黑体"/>
          <w:sz w:val="21"/>
          <w:szCs w:val="22"/>
        </w:rPr>
      </w:pPr>
      <w:r>
        <w:fldChar w:fldCharType="begin"/>
      </w:r>
      <w:r>
        <w:instrText xml:space="preserve"> HYPERLINK \l "_Toc411199099" </w:instrText>
      </w:r>
      <w:r>
        <w:fldChar w:fldCharType="separate"/>
      </w:r>
      <w:r>
        <w:rPr>
          <w:rStyle w:val="12"/>
          <w:rFonts w:hint="eastAsia" w:ascii="宋体" w:hAnsi="宋体"/>
        </w:rPr>
        <w:t>（二）研究意义</w:t>
      </w:r>
      <w:r>
        <w:tab/>
      </w:r>
      <w:r>
        <w:fldChar w:fldCharType="begin"/>
      </w:r>
      <w:r>
        <w:instrText xml:space="preserve"> PAGEREF _Toc411199099 \h </w:instrText>
      </w:r>
      <w:r>
        <w:fldChar w:fldCharType="separate"/>
      </w:r>
      <w:r>
        <w:t>2</w:t>
      </w:r>
      <w:r>
        <w:fldChar w:fldCharType="end"/>
      </w:r>
      <w:r>
        <w:fldChar w:fldCharType="end"/>
      </w:r>
    </w:p>
    <w:p>
      <w:pPr>
        <w:pStyle w:val="7"/>
        <w:tabs>
          <w:tab w:val="right" w:leader="dot" w:pos="8296"/>
        </w:tabs>
        <w:rPr>
          <w:rFonts w:ascii="Calibri" w:hAnsi="Calibri" w:cs="黑体"/>
          <w:b w:val="0"/>
          <w:sz w:val="21"/>
          <w:szCs w:val="22"/>
        </w:rPr>
      </w:pPr>
      <w:r>
        <w:fldChar w:fldCharType="begin"/>
      </w:r>
      <w:r>
        <w:instrText xml:space="preserve"> HYPERLINK \l "_Toc411199101" </w:instrText>
      </w:r>
      <w:r>
        <w:fldChar w:fldCharType="separate"/>
      </w:r>
      <w:r>
        <w:rPr>
          <w:rStyle w:val="12"/>
          <w:rFonts w:hint="eastAsia"/>
        </w:rPr>
        <w:t>二、研究内容与方法</w:t>
      </w:r>
      <w:r>
        <w:tab/>
      </w:r>
      <w:r>
        <w:fldChar w:fldCharType="begin"/>
      </w:r>
      <w:r>
        <w:instrText xml:space="preserve"> PAGEREF _Toc411199101 \h </w:instrText>
      </w:r>
      <w:r>
        <w:fldChar w:fldCharType="separate"/>
      </w:r>
      <w:r>
        <w:t>3</w:t>
      </w:r>
      <w:r>
        <w:fldChar w:fldCharType="end"/>
      </w:r>
      <w:r>
        <w:fldChar w:fldCharType="end"/>
      </w:r>
    </w:p>
    <w:p>
      <w:pPr>
        <w:pStyle w:val="9"/>
        <w:tabs>
          <w:tab w:val="right" w:leader="dot" w:pos="8296"/>
        </w:tabs>
        <w:rPr>
          <w:rFonts w:ascii="Calibri" w:hAnsi="Calibri" w:cs="黑体"/>
          <w:sz w:val="21"/>
          <w:szCs w:val="22"/>
        </w:rPr>
      </w:pPr>
      <w:r>
        <w:fldChar w:fldCharType="begin"/>
      </w:r>
      <w:r>
        <w:instrText xml:space="preserve"> HYPERLINK \l "_Toc411199102" </w:instrText>
      </w:r>
      <w:r>
        <w:fldChar w:fldCharType="separate"/>
      </w:r>
      <w:r>
        <w:rPr>
          <w:rStyle w:val="12"/>
          <w:rFonts w:hint="eastAsia" w:ascii="宋体" w:hAnsi="宋体"/>
        </w:rPr>
        <w:t>（一）研究内容</w:t>
      </w:r>
      <w:r>
        <w:tab/>
      </w:r>
      <w:r>
        <w:fldChar w:fldCharType="begin"/>
      </w:r>
      <w:r>
        <w:instrText xml:space="preserve"> PAGEREF _Toc411199102 \h </w:instrText>
      </w:r>
      <w:r>
        <w:fldChar w:fldCharType="separate"/>
      </w:r>
      <w:r>
        <w:t>3</w:t>
      </w:r>
      <w:r>
        <w:fldChar w:fldCharType="end"/>
      </w:r>
      <w:r>
        <w:fldChar w:fldCharType="end"/>
      </w:r>
    </w:p>
    <w:p>
      <w:pPr>
        <w:pStyle w:val="9"/>
        <w:tabs>
          <w:tab w:val="right" w:leader="dot" w:pos="8296"/>
        </w:tabs>
        <w:rPr>
          <w:rFonts w:ascii="Calibri" w:hAnsi="Calibri" w:cs="黑体"/>
          <w:sz w:val="21"/>
          <w:szCs w:val="22"/>
        </w:rPr>
      </w:pPr>
      <w:r>
        <w:fldChar w:fldCharType="begin"/>
      </w:r>
      <w:r>
        <w:instrText xml:space="preserve"> HYPERLINK \l "_Toc411199104" </w:instrText>
      </w:r>
      <w:r>
        <w:fldChar w:fldCharType="separate"/>
      </w:r>
      <w:r>
        <w:rPr>
          <w:rStyle w:val="12"/>
          <w:rFonts w:hint="eastAsia"/>
          <w:kern w:val="0"/>
        </w:rPr>
        <w:t>（</w:t>
      </w:r>
      <w:r>
        <w:rPr>
          <w:rStyle w:val="12"/>
          <w:rFonts w:hint="eastAsia"/>
          <w:kern w:val="0"/>
          <w:lang w:eastAsia="zh-CN"/>
        </w:rPr>
        <w:t>二</w:t>
      </w:r>
      <w:r>
        <w:rPr>
          <w:rStyle w:val="12"/>
          <w:rFonts w:hint="eastAsia"/>
          <w:kern w:val="0"/>
        </w:rPr>
        <w:t>）</w:t>
      </w:r>
      <w:r>
        <w:rPr>
          <w:rStyle w:val="12"/>
          <w:rFonts w:hint="eastAsia"/>
        </w:rPr>
        <w:t>研究思路与方法</w:t>
      </w:r>
      <w:r>
        <w:tab/>
      </w:r>
      <w:r>
        <w:fldChar w:fldCharType="begin"/>
      </w:r>
      <w:r>
        <w:instrText xml:space="preserve"> PAGEREF _Toc411199104 \h </w:instrText>
      </w:r>
      <w:r>
        <w:fldChar w:fldCharType="separate"/>
      </w:r>
      <w:r>
        <w:t>3</w:t>
      </w:r>
      <w:r>
        <w:fldChar w:fldCharType="end"/>
      </w:r>
      <w:r>
        <w:fldChar w:fldCharType="end"/>
      </w:r>
    </w:p>
    <w:p>
      <w:pPr>
        <w:pStyle w:val="7"/>
        <w:tabs>
          <w:tab w:val="right" w:leader="dot" w:pos="8296"/>
        </w:tabs>
        <w:rPr>
          <w:rFonts w:ascii="Calibri" w:hAnsi="Calibri" w:cs="黑体"/>
          <w:b w:val="0"/>
          <w:sz w:val="21"/>
          <w:szCs w:val="22"/>
        </w:rPr>
      </w:pPr>
      <w:r>
        <w:fldChar w:fldCharType="begin"/>
      </w:r>
      <w:r>
        <w:instrText xml:space="preserve"> HYPERLINK \l "_Toc411199105" </w:instrText>
      </w:r>
      <w:r>
        <w:fldChar w:fldCharType="separate"/>
      </w:r>
      <w:r>
        <w:rPr>
          <w:rStyle w:val="12"/>
          <w:rFonts w:hint="eastAsia"/>
        </w:rPr>
        <w:t>三、研究成果与</w:t>
      </w:r>
      <w:r>
        <w:rPr>
          <w:rStyle w:val="12"/>
          <w:rFonts w:hint="eastAsia"/>
          <w:lang w:eastAsia="zh-CN"/>
        </w:rPr>
        <w:t>主要观点</w:t>
      </w:r>
      <w:r>
        <w:tab/>
      </w:r>
      <w:r>
        <w:fldChar w:fldCharType="begin"/>
      </w:r>
      <w:r>
        <w:instrText xml:space="preserve"> PAGEREF _Toc411199105 \h </w:instrText>
      </w:r>
      <w:r>
        <w:fldChar w:fldCharType="separate"/>
      </w:r>
      <w:r>
        <w:t>4</w:t>
      </w:r>
      <w:r>
        <w:fldChar w:fldCharType="end"/>
      </w:r>
      <w:r>
        <w:fldChar w:fldCharType="end"/>
      </w:r>
    </w:p>
    <w:p>
      <w:pPr>
        <w:pStyle w:val="9"/>
        <w:tabs>
          <w:tab w:val="right" w:leader="dot" w:pos="8296"/>
        </w:tabs>
        <w:rPr>
          <w:rFonts w:ascii="Calibri" w:hAnsi="Calibri" w:cs="黑体"/>
          <w:sz w:val="21"/>
          <w:szCs w:val="22"/>
        </w:rPr>
      </w:pPr>
      <w:r>
        <w:fldChar w:fldCharType="begin"/>
      </w:r>
      <w:r>
        <w:instrText xml:space="preserve"> HYPERLINK \l "_Toc411199106" </w:instrText>
      </w:r>
      <w:r>
        <w:fldChar w:fldCharType="separate"/>
      </w:r>
      <w:r>
        <w:rPr>
          <w:rStyle w:val="12"/>
          <w:rFonts w:hint="eastAsia" w:ascii="宋体" w:hAnsi="宋体"/>
        </w:rPr>
        <w:t>（一）研究成果</w:t>
      </w:r>
      <w:r>
        <w:tab/>
      </w:r>
      <w:r>
        <w:fldChar w:fldCharType="begin"/>
      </w:r>
      <w:r>
        <w:instrText xml:space="preserve"> PAGEREF _Toc411199107 \h </w:instrText>
      </w:r>
      <w:r>
        <w:fldChar w:fldCharType="separate"/>
      </w:r>
      <w:r>
        <w:t>5</w:t>
      </w:r>
      <w:r>
        <w:fldChar w:fldCharType="end"/>
      </w:r>
      <w:r>
        <w:fldChar w:fldCharType="end"/>
      </w:r>
    </w:p>
    <w:p>
      <w:pPr>
        <w:pStyle w:val="9"/>
        <w:tabs>
          <w:tab w:val="right" w:leader="dot" w:pos="8296"/>
        </w:tabs>
        <w:rPr>
          <w:rFonts w:ascii="Calibri" w:hAnsi="Calibri" w:cs="黑体"/>
          <w:sz w:val="21"/>
          <w:szCs w:val="22"/>
        </w:rPr>
      </w:pPr>
      <w:r>
        <w:fldChar w:fldCharType="begin"/>
      </w:r>
      <w:r>
        <w:instrText xml:space="preserve"> HYPERLINK \l "_Toc411199107" </w:instrText>
      </w:r>
      <w:r>
        <w:fldChar w:fldCharType="separate"/>
      </w:r>
      <w:r>
        <w:rPr>
          <w:rStyle w:val="12"/>
          <w:rFonts w:hint="eastAsia" w:ascii="宋体" w:hAnsi="宋体"/>
        </w:rPr>
        <w:t>（二）</w:t>
      </w:r>
      <w:r>
        <w:rPr>
          <w:rStyle w:val="12"/>
          <w:rFonts w:hint="eastAsia" w:ascii="宋体" w:hAnsi="宋体"/>
          <w:lang w:eastAsia="zh-CN"/>
        </w:rPr>
        <w:t>主要观点</w:t>
      </w:r>
      <w:r>
        <w:tab/>
      </w:r>
      <w:r>
        <w:fldChar w:fldCharType="begin"/>
      </w:r>
      <w:r>
        <w:instrText xml:space="preserve"> PAGEREF _Toc411199107 \h </w:instrText>
      </w:r>
      <w:r>
        <w:fldChar w:fldCharType="separate"/>
      </w:r>
      <w:r>
        <w:t>5</w:t>
      </w:r>
      <w:r>
        <w:fldChar w:fldCharType="end"/>
      </w:r>
      <w:r>
        <w:fldChar w:fldCharType="end"/>
      </w:r>
    </w:p>
    <w:p>
      <w:pPr>
        <w:pStyle w:val="7"/>
        <w:tabs>
          <w:tab w:val="right" w:leader="dot" w:pos="8296"/>
        </w:tabs>
      </w:pPr>
      <w:r>
        <w:fldChar w:fldCharType="begin"/>
      </w:r>
      <w:r>
        <w:instrText xml:space="preserve"> HYPERLINK \l "_Toc411199108" </w:instrText>
      </w:r>
      <w:r>
        <w:fldChar w:fldCharType="separate"/>
      </w:r>
      <w:r>
        <w:rPr>
          <w:rStyle w:val="12"/>
          <w:rFonts w:hint="eastAsia" w:ascii="宋体" w:hAnsi="宋体"/>
        </w:rPr>
        <w:t>四、</w:t>
      </w:r>
      <w:r>
        <w:rPr>
          <w:rStyle w:val="12"/>
          <w:rFonts w:hint="eastAsia" w:ascii="宋体" w:hAnsi="宋体"/>
          <w:lang w:eastAsia="zh-CN"/>
        </w:rPr>
        <w:t>后续研究重点</w:t>
      </w:r>
      <w:r>
        <w:tab/>
      </w:r>
      <w:r>
        <w:fldChar w:fldCharType="begin"/>
      </w:r>
      <w:r>
        <w:instrText xml:space="preserve"> PAGEREF _Toc411199108 \h </w:instrText>
      </w:r>
      <w:r>
        <w:fldChar w:fldCharType="separate"/>
      </w:r>
      <w:r>
        <w:t>8</w:t>
      </w:r>
      <w:r>
        <w:fldChar w:fldCharType="end"/>
      </w:r>
      <w:r>
        <w:fldChar w:fldCharType="end"/>
      </w:r>
    </w:p>
    <w:p>
      <w:r>
        <w:rPr>
          <w:b/>
          <w:sz w:val="28"/>
        </w:rPr>
        <w:fldChar w:fldCharType="end"/>
      </w:r>
    </w:p>
    <w:p>
      <w:pPr>
        <w:pStyle w:val="7"/>
        <w:tabs>
          <w:tab w:val="right" w:leader="dot" w:pos="8296"/>
        </w:tabs>
      </w:pPr>
      <w:r>
        <w:fldChar w:fldCharType="begin"/>
      </w:r>
      <w:r>
        <w:instrText xml:space="preserve"> HYPERLINK \l "_Toc411199108" </w:instrText>
      </w:r>
      <w:r>
        <w:fldChar w:fldCharType="separate"/>
      </w:r>
      <w:r>
        <w:rPr>
          <w:rFonts w:hint="eastAsia"/>
          <w:lang w:eastAsia="zh-CN"/>
        </w:rPr>
        <w:t>五</w:t>
      </w:r>
      <w:r>
        <w:rPr>
          <w:rFonts w:hint="eastAsia"/>
        </w:rPr>
        <w:t>、</w:t>
      </w:r>
      <w:r>
        <w:rPr>
          <w:rFonts w:hint="eastAsia"/>
          <w:lang w:eastAsia="zh-CN"/>
        </w:rPr>
        <w:t>附件</w:t>
      </w:r>
      <w:r>
        <w:tab/>
      </w:r>
      <w:r>
        <w:rPr>
          <w:rFonts w:hint="eastAsia"/>
          <w:lang w:val="en-US" w:eastAsia="zh-CN"/>
        </w:rPr>
        <w:t>9</w:t>
      </w:r>
      <w:r>
        <w:fldChar w:fldCharType="end"/>
      </w:r>
    </w:p>
    <w:p>
      <w:pPr>
        <w:spacing w:line="360" w:lineRule="auto"/>
        <w:jc w:val="center"/>
        <w:rPr>
          <w:rFonts w:ascii="宋体" w:hAnsi="宋体"/>
          <w:b/>
          <w:color w:val="000000"/>
          <w:kern w:val="0"/>
          <w:sz w:val="32"/>
          <w:szCs w:val="32"/>
        </w:rPr>
      </w:pPr>
    </w:p>
    <w:p>
      <w:pPr>
        <w:spacing w:line="360" w:lineRule="auto"/>
        <w:jc w:val="center"/>
        <w:rPr>
          <w:rFonts w:ascii="宋体" w:hAnsi="宋体"/>
          <w:b/>
          <w:color w:val="000000"/>
          <w:kern w:val="0"/>
          <w:sz w:val="32"/>
          <w:szCs w:val="32"/>
        </w:rPr>
      </w:pPr>
    </w:p>
    <w:p>
      <w:pPr>
        <w:spacing w:line="360" w:lineRule="auto"/>
        <w:jc w:val="center"/>
        <w:rPr>
          <w:rFonts w:ascii="宋体" w:hAnsi="宋体"/>
          <w:b/>
          <w:color w:val="000000"/>
          <w:kern w:val="0"/>
          <w:sz w:val="32"/>
          <w:szCs w:val="32"/>
        </w:rPr>
      </w:pPr>
    </w:p>
    <w:p>
      <w:pPr>
        <w:spacing w:line="360" w:lineRule="auto"/>
        <w:jc w:val="center"/>
        <w:rPr>
          <w:rFonts w:ascii="宋体" w:hAnsi="宋体"/>
          <w:b/>
          <w:color w:val="000000"/>
          <w:kern w:val="0"/>
          <w:sz w:val="32"/>
          <w:szCs w:val="32"/>
        </w:rPr>
      </w:pPr>
    </w:p>
    <w:p>
      <w:pPr>
        <w:spacing w:line="360" w:lineRule="auto"/>
        <w:jc w:val="center"/>
        <w:rPr>
          <w:rFonts w:hint="eastAsia" w:ascii="黑体" w:hAnsi="黑体" w:eastAsia="黑体" w:cs="黑体"/>
          <w:b w:val="0"/>
          <w:bCs w:val="0"/>
          <w:sz w:val="32"/>
          <w:szCs w:val="32"/>
        </w:rPr>
      </w:pPr>
      <w:r>
        <w:rPr>
          <w:rFonts w:ascii="宋体" w:hAnsi="宋体"/>
          <w:b/>
          <w:color w:val="000000"/>
          <w:kern w:val="0"/>
          <w:sz w:val="32"/>
          <w:szCs w:val="32"/>
        </w:rPr>
        <w:br w:type="page"/>
      </w:r>
      <w:r>
        <w:rPr>
          <w:rFonts w:hint="eastAsia" w:ascii="黑体" w:hAnsi="黑体" w:eastAsia="黑体" w:cs="黑体"/>
          <w:sz w:val="32"/>
          <w:szCs w:val="32"/>
        </w:rPr>
        <w:t>上海职业院校教职工状况及其诉求的调查研究</w:t>
      </w:r>
      <w:r>
        <w:rPr>
          <w:rFonts w:hint="eastAsia" w:ascii="黑体" w:hAnsi="黑体" w:eastAsia="黑体" w:cs="黑体"/>
          <w:sz w:val="32"/>
          <w:szCs w:val="32"/>
          <w:lang w:eastAsia="zh-CN"/>
        </w:rPr>
        <w:t>结题</w:t>
      </w:r>
      <w:r>
        <w:rPr>
          <w:rFonts w:hint="eastAsia" w:ascii="黑体" w:hAnsi="黑体" w:eastAsia="黑体" w:cs="黑体"/>
          <w:b w:val="0"/>
          <w:bCs w:val="0"/>
          <w:sz w:val="32"/>
          <w:szCs w:val="32"/>
        </w:rPr>
        <w:t>报告</w:t>
      </w:r>
    </w:p>
    <w:p>
      <w:pPr>
        <w:spacing w:line="360" w:lineRule="auto"/>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上海市教育评估院 刘磊</w:t>
      </w:r>
    </w:p>
    <w:p>
      <w:pPr>
        <w:pStyle w:val="2"/>
        <w:spacing w:before="0" w:after="0" w:line="360" w:lineRule="auto"/>
        <w:ind w:firstLine="480" w:firstLineChars="200"/>
        <w:rPr>
          <w:rFonts w:hint="eastAsia" w:ascii="宋体" w:hAnsi="宋体" w:cs="宋体"/>
          <w:b w:val="0"/>
          <w:bCs w:val="0"/>
          <w:kern w:val="2"/>
          <w:sz w:val="24"/>
          <w:szCs w:val="24"/>
          <w:lang w:eastAsia="zh-CN"/>
        </w:rPr>
      </w:pPr>
      <w:bookmarkStart w:id="0" w:name="_Toc304446395"/>
      <w:bookmarkStart w:id="1" w:name="_Toc411199097"/>
    </w:p>
    <w:p>
      <w:pPr>
        <w:rPr>
          <w:rFonts w:hint="eastAsia" w:ascii="黑体" w:hAnsi="黑体" w:eastAsia="黑体" w:cs="黑体"/>
          <w:b w:val="0"/>
          <w:bCs w:val="0"/>
          <w:kern w:val="2"/>
          <w:sz w:val="24"/>
          <w:szCs w:val="24"/>
          <w:lang w:eastAsia="zh-CN"/>
        </w:rPr>
      </w:pPr>
      <w:r>
        <w:rPr>
          <w:rFonts w:hint="eastAsia" w:ascii="黑体" w:hAnsi="黑体" w:eastAsia="黑体" w:cs="黑体"/>
          <w:b/>
          <w:bCs/>
          <w:kern w:val="2"/>
          <w:sz w:val="24"/>
          <w:szCs w:val="24"/>
          <w:lang w:eastAsia="zh-CN"/>
        </w:rPr>
        <w:t>内容提要：</w:t>
      </w:r>
      <w:r>
        <w:rPr>
          <w:rFonts w:hint="eastAsia" w:ascii="黑体" w:hAnsi="黑体" w:eastAsia="黑体" w:cs="黑体"/>
          <w:b w:val="0"/>
          <w:bCs w:val="0"/>
          <w:kern w:val="2"/>
          <w:sz w:val="24"/>
          <w:szCs w:val="24"/>
          <w:lang w:eastAsia="zh-CN"/>
        </w:rPr>
        <w:t>在综述前人研究的基础上，提出在研究对象、研究内容、教职工类别和层次，以及服务群体等方面的研究突破。运用马斯洛层次需求理论作为课题研究的分析框架，编制问卷和分析问卷。提出了</w:t>
      </w:r>
      <w:r>
        <w:rPr>
          <w:rFonts w:hint="eastAsia" w:ascii="黑体" w:hAnsi="黑体" w:eastAsia="黑体" w:cs="黑体"/>
          <w:b w:val="0"/>
          <w:bCs w:val="0"/>
          <w:kern w:val="2"/>
          <w:sz w:val="24"/>
          <w:szCs w:val="24"/>
          <w:lang w:val="en-US" w:eastAsia="zh-CN"/>
        </w:rPr>
        <w:t>我市职业院校教职工软硬环境满意度良好，身体状况满意度总体偏低，工作压力普遍偏大，职业优越感不足，薪酬待遇亟待提升，反映诉求的渠道需要拓宽等观点。</w:t>
      </w:r>
    </w:p>
    <w:p>
      <w:pPr>
        <w:pStyle w:val="2"/>
        <w:pageBreakBefore w:val="0"/>
        <w:kinsoku/>
        <w:wordWrap/>
        <w:overflowPunct/>
        <w:topLinePunct w:val="0"/>
        <w:autoSpaceDE/>
        <w:autoSpaceDN/>
        <w:bidi w:val="0"/>
        <w:adjustRightInd/>
        <w:snapToGrid/>
        <w:spacing w:before="0" w:after="0" w:line="240" w:lineRule="auto"/>
        <w:ind w:right="0" w:rightChars="0"/>
        <w:textAlignment w:val="auto"/>
        <w:rPr>
          <w:rFonts w:hint="eastAsia" w:asciiTheme="minorEastAsia" w:hAnsiTheme="minorEastAsia" w:eastAsiaTheme="minorEastAsia" w:cstheme="minorEastAsia"/>
          <w:b w:val="0"/>
          <w:bCs w:val="0"/>
          <w:kern w:val="2"/>
          <w:sz w:val="24"/>
          <w:szCs w:val="24"/>
          <w:lang w:eastAsia="zh-CN"/>
        </w:rPr>
      </w:pPr>
      <w:r>
        <w:rPr>
          <w:rFonts w:hint="eastAsia" w:ascii="黑体" w:hAnsi="黑体" w:eastAsia="黑体" w:cs="黑体"/>
          <w:b/>
          <w:bCs/>
          <w:kern w:val="2"/>
          <w:sz w:val="24"/>
          <w:szCs w:val="24"/>
          <w:lang w:eastAsia="zh-CN"/>
        </w:rPr>
        <w:t>关键词：</w:t>
      </w:r>
      <w:r>
        <w:rPr>
          <w:rFonts w:hint="eastAsia" w:ascii="黑体" w:hAnsi="黑体" w:eastAsia="黑体" w:cs="黑体"/>
          <w:b w:val="0"/>
          <w:bCs w:val="0"/>
          <w:kern w:val="2"/>
          <w:sz w:val="24"/>
          <w:szCs w:val="24"/>
          <w:lang w:eastAsia="zh-CN"/>
        </w:rPr>
        <w:t>职业院校；教职工状况；诉求</w:t>
      </w:r>
    </w:p>
    <w:p>
      <w:pPr>
        <w:rPr>
          <w:rFonts w:hint="eastAsia"/>
          <w:lang w:eastAsia="zh-CN"/>
        </w:rPr>
      </w:pPr>
    </w:p>
    <w:p>
      <w:pPr>
        <w:pStyle w:val="2"/>
        <w:pageBreakBefore w:val="0"/>
        <w:kinsoku/>
        <w:wordWrap/>
        <w:overflowPunct/>
        <w:topLinePunct w:val="0"/>
        <w:autoSpaceDE/>
        <w:autoSpaceDN/>
        <w:bidi w:val="0"/>
        <w:adjustRightInd/>
        <w:snapToGrid/>
        <w:spacing w:before="0" w:after="0" w:line="240" w:lineRule="auto"/>
        <w:ind w:right="0" w:rightChars="0" w:firstLine="480" w:firstLineChars="200"/>
        <w:textAlignment w:val="auto"/>
        <w:rPr>
          <w:rFonts w:hint="eastAsia" w:asciiTheme="minorEastAsia" w:hAnsiTheme="minorEastAsia" w:eastAsiaTheme="minorEastAsia" w:cstheme="minorEastAsia"/>
          <w:b w:val="0"/>
          <w:bCs w:val="0"/>
          <w:kern w:val="2"/>
          <w:sz w:val="24"/>
          <w:szCs w:val="24"/>
        </w:rPr>
      </w:pPr>
      <w:r>
        <w:rPr>
          <w:rFonts w:hint="eastAsia" w:asciiTheme="minorEastAsia" w:hAnsiTheme="minorEastAsia" w:eastAsiaTheme="minorEastAsia" w:cstheme="minorEastAsia"/>
          <w:b w:val="0"/>
          <w:bCs w:val="0"/>
          <w:kern w:val="2"/>
          <w:sz w:val="24"/>
          <w:szCs w:val="24"/>
        </w:rPr>
        <w:t>“上海职业院校教职工状况及其诉求的调查研究”属于</w:t>
      </w:r>
      <w:r>
        <w:rPr>
          <w:rFonts w:hint="eastAsia" w:asciiTheme="minorEastAsia" w:hAnsiTheme="minorEastAsia" w:eastAsiaTheme="minorEastAsia" w:cstheme="minorEastAsia"/>
          <w:b w:val="0"/>
          <w:bCs w:val="0"/>
          <w:kern w:val="2"/>
          <w:sz w:val="24"/>
          <w:szCs w:val="24"/>
          <w:lang w:val="en-US" w:eastAsia="zh-CN"/>
        </w:rPr>
        <w:t>2016年上海市教育工会理论研究会立项课题</w:t>
      </w:r>
      <w:r>
        <w:rPr>
          <w:rFonts w:hint="eastAsia" w:asciiTheme="minorEastAsia" w:hAnsiTheme="minorEastAsia" w:eastAsiaTheme="minorEastAsia" w:cstheme="minorEastAsia"/>
          <w:b w:val="0"/>
          <w:bCs w:val="0"/>
          <w:kern w:val="2"/>
          <w:sz w:val="24"/>
          <w:szCs w:val="24"/>
        </w:rPr>
        <w:t>，本人结合</w:t>
      </w:r>
      <w:r>
        <w:rPr>
          <w:rFonts w:hint="eastAsia" w:asciiTheme="minorEastAsia" w:hAnsiTheme="minorEastAsia" w:eastAsiaTheme="minorEastAsia" w:cstheme="minorEastAsia"/>
          <w:b w:val="0"/>
          <w:bCs w:val="0"/>
          <w:kern w:val="2"/>
          <w:sz w:val="24"/>
          <w:szCs w:val="24"/>
          <w:lang w:eastAsia="zh-CN"/>
        </w:rPr>
        <w:t>工作实际</w:t>
      </w:r>
      <w:r>
        <w:rPr>
          <w:rFonts w:hint="eastAsia" w:asciiTheme="minorEastAsia" w:hAnsiTheme="minorEastAsia" w:eastAsiaTheme="minorEastAsia" w:cstheme="minorEastAsia"/>
          <w:b w:val="0"/>
          <w:bCs w:val="0"/>
          <w:kern w:val="2"/>
          <w:sz w:val="24"/>
          <w:szCs w:val="24"/>
        </w:rPr>
        <w:t>，</w:t>
      </w:r>
      <w:r>
        <w:rPr>
          <w:rFonts w:hint="eastAsia" w:asciiTheme="minorEastAsia" w:hAnsiTheme="minorEastAsia" w:eastAsiaTheme="minorEastAsia" w:cstheme="minorEastAsia"/>
          <w:b w:val="0"/>
          <w:bCs w:val="0"/>
          <w:kern w:val="2"/>
          <w:sz w:val="24"/>
          <w:szCs w:val="24"/>
          <w:lang w:eastAsia="zh-CN"/>
        </w:rPr>
        <w:t>在本年度</w:t>
      </w:r>
      <w:r>
        <w:rPr>
          <w:rFonts w:hint="eastAsia" w:asciiTheme="minorEastAsia" w:hAnsiTheme="minorEastAsia" w:eastAsiaTheme="minorEastAsia" w:cstheme="minorEastAsia"/>
          <w:b w:val="0"/>
          <w:bCs w:val="0"/>
          <w:kern w:val="2"/>
          <w:sz w:val="24"/>
          <w:szCs w:val="24"/>
        </w:rPr>
        <w:t>的课题研究周期内顺利完成了研究预期目标，现将研究情况报告如下。</w:t>
      </w:r>
    </w:p>
    <w:p>
      <w:pPr>
        <w:pStyle w:val="2"/>
        <w:pageBreakBefore w:val="0"/>
        <w:kinsoku/>
        <w:wordWrap/>
        <w:overflowPunct/>
        <w:topLinePunct w:val="0"/>
        <w:autoSpaceDE/>
        <w:autoSpaceDN/>
        <w:bidi w:val="0"/>
        <w:adjustRightInd/>
        <w:snapToGrid/>
        <w:spacing w:before="0" w:after="0" w:line="240" w:lineRule="auto"/>
        <w:ind w:right="0" w:rightChars="0" w:firstLine="482"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一、研究</w:t>
      </w:r>
      <w:bookmarkEnd w:id="0"/>
      <w:bookmarkEnd w:id="1"/>
      <w:r>
        <w:rPr>
          <w:rFonts w:hint="eastAsia" w:asciiTheme="minorEastAsia" w:hAnsiTheme="minorEastAsia" w:eastAsiaTheme="minorEastAsia" w:cstheme="minorEastAsia"/>
          <w:sz w:val="24"/>
          <w:szCs w:val="24"/>
          <w:lang w:eastAsia="zh-CN"/>
        </w:rPr>
        <w:t>现状与意义</w:t>
      </w:r>
    </w:p>
    <w:p>
      <w:pPr>
        <w:pStyle w:val="3"/>
        <w:pageBreakBefore w:val="0"/>
        <w:kinsoku/>
        <w:wordWrap/>
        <w:overflowPunct/>
        <w:topLinePunct w:val="0"/>
        <w:autoSpaceDE/>
        <w:autoSpaceDN/>
        <w:bidi w:val="0"/>
        <w:adjustRightInd/>
        <w:snapToGrid/>
        <w:spacing w:before="0" w:after="0" w:line="240" w:lineRule="auto"/>
        <w:ind w:right="0" w:rightChars="0" w:firstLine="482" w:firstLineChars="200"/>
        <w:textAlignment w:val="auto"/>
        <w:rPr>
          <w:rFonts w:hint="eastAsia" w:asciiTheme="minorEastAsia" w:hAnsiTheme="minorEastAsia" w:eastAsiaTheme="minorEastAsia" w:cstheme="minorEastAsia"/>
          <w:sz w:val="24"/>
          <w:szCs w:val="24"/>
        </w:rPr>
      </w:pPr>
      <w:bookmarkStart w:id="2" w:name="_Toc411199098"/>
      <w:bookmarkStart w:id="3" w:name="_Toc304446396"/>
      <w:r>
        <w:rPr>
          <w:rFonts w:hint="eastAsia" w:asciiTheme="minorEastAsia" w:hAnsiTheme="minorEastAsia" w:eastAsiaTheme="minorEastAsia" w:cstheme="minorEastAsia"/>
          <w:sz w:val="24"/>
          <w:szCs w:val="24"/>
        </w:rPr>
        <w:t>（一）研究</w:t>
      </w:r>
      <w:bookmarkEnd w:id="2"/>
      <w:bookmarkEnd w:id="3"/>
      <w:r>
        <w:rPr>
          <w:rFonts w:hint="eastAsia" w:asciiTheme="minorEastAsia" w:hAnsiTheme="minorEastAsia" w:eastAsiaTheme="minorEastAsia" w:cstheme="minorEastAsia"/>
          <w:sz w:val="24"/>
          <w:szCs w:val="24"/>
          <w:lang w:eastAsia="zh-CN"/>
        </w:rPr>
        <w:t>现状</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在“中国知网”用主题词“教职工状况”进行检索，仅有5篇相关论文，最近的研究是2011年。用主题词“教职工诉求”进行检索，仅有7篇相关论文。表明我国对于教职工状况和诉求的相关研究还比较薄弱，从现有研究来看，研究现状主要表现在以下几个方面。</w:t>
      </w:r>
      <w:r>
        <w:rPr>
          <w:rFonts w:hint="eastAsia" w:asciiTheme="minorEastAsia" w:hAnsiTheme="minorEastAsia" w:eastAsiaTheme="minorEastAsia" w:cstheme="minorEastAsia"/>
          <w:kern w:val="0"/>
          <w:sz w:val="24"/>
          <w:szCs w:val="24"/>
          <w:lang w:val="en-US" w:eastAsia="zh-CN"/>
        </w:rPr>
        <w:t>1.</w:t>
      </w:r>
      <w:r>
        <w:rPr>
          <w:rFonts w:hint="eastAsia" w:asciiTheme="minorEastAsia" w:hAnsiTheme="minorEastAsia" w:eastAsiaTheme="minorEastAsia" w:cstheme="minorEastAsia"/>
          <w:kern w:val="0"/>
          <w:sz w:val="24"/>
          <w:szCs w:val="24"/>
        </w:rPr>
        <w:t>研究对象多为女性。多数研究教职工状况的论文都是倾向于女教职工研究，认为女教职工作为弱势群体应加大关注力度。</w:t>
      </w:r>
      <w:r>
        <w:rPr>
          <w:rFonts w:hint="eastAsia" w:asciiTheme="minorEastAsia" w:hAnsiTheme="minorEastAsia" w:eastAsiaTheme="minorEastAsia" w:cstheme="minorEastAsia"/>
          <w:kern w:val="0"/>
          <w:sz w:val="24"/>
          <w:szCs w:val="24"/>
          <w:lang w:val="en-US" w:eastAsia="zh-CN"/>
        </w:rPr>
        <w:t>2.</w:t>
      </w:r>
      <w:r>
        <w:rPr>
          <w:rFonts w:hint="eastAsia" w:asciiTheme="minorEastAsia" w:hAnsiTheme="minorEastAsia" w:eastAsiaTheme="minorEastAsia" w:cstheme="minorEastAsia"/>
          <w:kern w:val="0"/>
          <w:sz w:val="24"/>
          <w:szCs w:val="24"/>
        </w:rPr>
        <w:t>研究内容多局限于身体健康等状况的研究。对现有研究分析可以看出多数研究限于对教职工健康、体育活动等情况的调查研究。</w:t>
      </w:r>
      <w:r>
        <w:rPr>
          <w:rFonts w:hint="eastAsia" w:asciiTheme="minorEastAsia" w:hAnsiTheme="minorEastAsia" w:eastAsiaTheme="minorEastAsia" w:cstheme="minorEastAsia"/>
          <w:kern w:val="0"/>
          <w:sz w:val="24"/>
          <w:szCs w:val="24"/>
          <w:lang w:val="en-US" w:eastAsia="zh-CN"/>
        </w:rPr>
        <w:t>3.</w:t>
      </w:r>
      <w:r>
        <w:rPr>
          <w:rFonts w:hint="eastAsia" w:asciiTheme="minorEastAsia" w:hAnsiTheme="minorEastAsia" w:eastAsiaTheme="minorEastAsia" w:cstheme="minorEastAsia"/>
          <w:kern w:val="0"/>
          <w:sz w:val="24"/>
          <w:szCs w:val="24"/>
        </w:rPr>
        <w:t>教职工类别和层次多局限于高校教职工。从期刊网上搜索的关于教职工研究绝大多数是高校教职工，而对于职业院校教职工的研究还未见有相关成果发表。</w:t>
      </w:r>
      <w:r>
        <w:rPr>
          <w:rFonts w:hint="eastAsia" w:asciiTheme="minorEastAsia" w:hAnsiTheme="minorEastAsia" w:eastAsiaTheme="minorEastAsia" w:cstheme="minorEastAsia"/>
          <w:kern w:val="0"/>
          <w:sz w:val="24"/>
          <w:szCs w:val="24"/>
          <w:lang w:val="en-US" w:eastAsia="zh-CN"/>
        </w:rPr>
        <w:t>4.</w:t>
      </w:r>
      <w:r>
        <w:rPr>
          <w:rFonts w:hint="eastAsia" w:asciiTheme="minorEastAsia" w:hAnsiTheme="minorEastAsia" w:eastAsiaTheme="minorEastAsia" w:cstheme="minorEastAsia"/>
          <w:kern w:val="0"/>
          <w:sz w:val="24"/>
          <w:szCs w:val="24"/>
        </w:rPr>
        <w:t>研究结果服务的群体多局限于学校层面和教职工层面。而对于关涉教职工长远发展的教育行政部门和其他相关部门的建议很少出现。总体上说未来教职工状况及其诉求的研究趋势是，通过大样本科学性调查研究，对涉及教职工思想、生活、工作等方面的状况进行全方位的研究，了解教职工在以上几个方面的核心诉求。分析预测教职工状况和诉求对社会可能产生的影响，提出相应解决策略等。</w:t>
      </w:r>
      <w:bookmarkStart w:id="4" w:name="_Toc411199099"/>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（二）研究意义</w:t>
      </w:r>
      <w:bookmarkEnd w:id="4"/>
      <w:bookmarkStart w:id="5" w:name="_Toc411199100"/>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Theme="minorEastAsia" w:hAnsiTheme="minorEastAsia" w:eastAsiaTheme="minorEastAsia" w:cstheme="minorEastAsia"/>
          <w:b w:val="0"/>
          <w:bCs w:val="0"/>
          <w:kern w:val="0"/>
          <w:sz w:val="24"/>
          <w:szCs w:val="24"/>
          <w:lang w:val="en-US" w:eastAsia="zh-CN" w:bidi="ar-SA"/>
        </w:rPr>
      </w:pPr>
      <w:r>
        <w:rPr>
          <w:rFonts w:hint="eastAsia" w:asciiTheme="minorEastAsia" w:hAnsiTheme="minorEastAsia" w:eastAsiaTheme="minorEastAsia" w:cstheme="minorEastAsia"/>
          <w:b w:val="0"/>
          <w:bCs w:val="0"/>
          <w:kern w:val="0"/>
          <w:sz w:val="24"/>
          <w:szCs w:val="24"/>
          <w:lang w:val="en-US" w:eastAsia="zh-CN" w:bidi="ar-SA"/>
        </w:rPr>
        <w:t>据以上不完全统计，针对我市职业院校教职工状况和诉求的调查研究成果还未见公开发表，换言之，我市职业院校教职工状况及其诉求亟待深入研究，本选题至少具有以下几个方面的研究价值。</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Theme="minorEastAsia" w:hAnsiTheme="minorEastAsia" w:eastAsiaTheme="minorEastAsia" w:cstheme="minorEastAsia"/>
          <w:b w:val="0"/>
          <w:bCs w:val="0"/>
          <w:kern w:val="0"/>
          <w:sz w:val="24"/>
          <w:szCs w:val="24"/>
          <w:lang w:val="en-US" w:eastAsia="zh-CN" w:bidi="ar-SA"/>
        </w:rPr>
      </w:pPr>
      <w:r>
        <w:rPr>
          <w:rFonts w:hint="eastAsia" w:asciiTheme="minorEastAsia" w:hAnsiTheme="minorEastAsia" w:eastAsiaTheme="minorEastAsia" w:cstheme="minorEastAsia"/>
          <w:b/>
          <w:bCs/>
          <w:kern w:val="0"/>
          <w:sz w:val="24"/>
          <w:szCs w:val="24"/>
          <w:lang w:val="en-US" w:eastAsia="zh-CN" w:bidi="ar-SA"/>
        </w:rPr>
        <w:t>1.能真实集中反映我市职业院校教职工的真实境况。</w:t>
      </w:r>
      <w:r>
        <w:rPr>
          <w:rFonts w:hint="eastAsia" w:asciiTheme="minorEastAsia" w:hAnsiTheme="minorEastAsia" w:eastAsiaTheme="minorEastAsia" w:cstheme="minorEastAsia"/>
          <w:b w:val="0"/>
          <w:bCs w:val="0"/>
          <w:kern w:val="0"/>
          <w:sz w:val="24"/>
          <w:szCs w:val="24"/>
          <w:lang w:val="en-US" w:eastAsia="zh-CN" w:bidi="ar-SA"/>
        </w:rPr>
        <w:t>通过对不同层次的职业院校（中职、高职）教职工境况和诉求进行调研，采用科学的分层分类抽样，获取的调研结果将会较为真实地反映我市职业院校教职工的真实境况，特别是教职工的核心诉求的集中表达，这本身就具有重要意义。</w:t>
      </w:r>
    </w:p>
    <w:p>
      <w:pPr>
        <w:pStyle w:val="3"/>
        <w:pageBreakBefore w:val="0"/>
        <w:numPr>
          <w:ilvl w:val="0"/>
          <w:numId w:val="0"/>
        </w:numPr>
        <w:kinsoku/>
        <w:wordWrap/>
        <w:overflowPunct/>
        <w:topLinePunct w:val="0"/>
        <w:autoSpaceDE/>
        <w:autoSpaceDN/>
        <w:bidi w:val="0"/>
        <w:adjustRightInd/>
        <w:snapToGrid/>
        <w:spacing w:before="0" w:after="0" w:line="240" w:lineRule="auto"/>
        <w:ind w:right="0" w:rightChars="0"/>
        <w:textAlignment w:val="auto"/>
        <w:rPr>
          <w:rFonts w:hint="eastAsia" w:asciiTheme="minorEastAsia" w:hAnsiTheme="minorEastAsia" w:eastAsiaTheme="minorEastAsia" w:cstheme="minorEastAsia"/>
          <w:b w:val="0"/>
          <w:bCs w:val="0"/>
          <w:kern w:val="0"/>
          <w:sz w:val="24"/>
          <w:szCs w:val="24"/>
          <w:lang w:val="en-US" w:eastAsia="zh-CN" w:bidi="ar-SA"/>
        </w:rPr>
      </w:pPr>
      <w:r>
        <w:rPr>
          <w:rFonts w:hint="eastAsia" w:asciiTheme="minorEastAsia" w:hAnsiTheme="minorEastAsia" w:eastAsiaTheme="minorEastAsia" w:cstheme="minorEastAsia"/>
          <w:b w:val="0"/>
          <w:bCs w:val="0"/>
          <w:kern w:val="0"/>
          <w:sz w:val="24"/>
          <w:szCs w:val="24"/>
          <w:lang w:val="en-US" w:eastAsia="zh-CN" w:bidi="ar-SA"/>
        </w:rPr>
        <w:t xml:space="preserve">  </w:t>
      </w:r>
      <w:r>
        <w:rPr>
          <w:rFonts w:hint="eastAsia" w:asciiTheme="minorEastAsia" w:hAnsiTheme="minorEastAsia" w:eastAsiaTheme="minorEastAsia" w:cstheme="minorEastAsia"/>
          <w:b/>
          <w:bCs/>
          <w:kern w:val="0"/>
          <w:sz w:val="24"/>
          <w:szCs w:val="24"/>
          <w:lang w:val="en-US" w:eastAsia="zh-CN" w:bidi="ar-SA"/>
        </w:rPr>
        <w:t xml:space="preserve">  2.为职业院校管理者提高学校治理水平提供参考。</w:t>
      </w:r>
      <w:r>
        <w:rPr>
          <w:rFonts w:hint="eastAsia" w:asciiTheme="minorEastAsia" w:hAnsiTheme="minorEastAsia" w:eastAsiaTheme="minorEastAsia" w:cstheme="minorEastAsia"/>
          <w:b w:val="0"/>
          <w:bCs w:val="0"/>
          <w:kern w:val="0"/>
          <w:sz w:val="24"/>
          <w:szCs w:val="24"/>
          <w:lang w:val="en-US" w:eastAsia="zh-CN" w:bidi="ar-SA"/>
        </w:rPr>
        <w:t>通过对职业院校教职工状况应然和实然调研后的差距及其原因分析，以及提供职业院校教职工核心诉求和解决对策，能为职业院校管理者提供直接的教职工诉求问题解决方案，提高职业院校管理者学校治理水平。</w:t>
      </w:r>
    </w:p>
    <w:p>
      <w:pPr>
        <w:pStyle w:val="3"/>
        <w:pageBreakBefore w:val="0"/>
        <w:numPr>
          <w:ilvl w:val="0"/>
          <w:numId w:val="0"/>
        </w:numPr>
        <w:kinsoku/>
        <w:wordWrap/>
        <w:overflowPunct/>
        <w:topLinePunct w:val="0"/>
        <w:autoSpaceDE/>
        <w:autoSpaceDN/>
        <w:bidi w:val="0"/>
        <w:adjustRightInd/>
        <w:snapToGrid/>
        <w:spacing w:before="0" w:after="0" w:line="240" w:lineRule="auto"/>
        <w:ind w:right="0" w:rightChars="0"/>
        <w:textAlignment w:val="auto"/>
        <w:rPr>
          <w:rFonts w:hint="eastAsia" w:asciiTheme="minorEastAsia" w:hAnsiTheme="minorEastAsia" w:eastAsiaTheme="minorEastAsia" w:cstheme="minorEastAsia"/>
          <w:b w:val="0"/>
          <w:bCs w:val="0"/>
          <w:kern w:val="0"/>
          <w:sz w:val="24"/>
          <w:szCs w:val="24"/>
          <w:lang w:val="en-US" w:eastAsia="zh-CN" w:bidi="ar-SA"/>
        </w:rPr>
      </w:pPr>
      <w:r>
        <w:rPr>
          <w:rFonts w:hint="eastAsia" w:asciiTheme="minorEastAsia" w:hAnsiTheme="minorEastAsia" w:eastAsiaTheme="minorEastAsia" w:cstheme="minorEastAsia"/>
          <w:b w:val="0"/>
          <w:bCs w:val="0"/>
          <w:kern w:val="0"/>
          <w:sz w:val="24"/>
          <w:szCs w:val="24"/>
          <w:lang w:val="en-US" w:eastAsia="zh-CN" w:bidi="ar-SA"/>
        </w:rPr>
        <w:t xml:space="preserve">   </w:t>
      </w:r>
      <w:r>
        <w:rPr>
          <w:rFonts w:hint="eastAsia" w:asciiTheme="minorEastAsia" w:hAnsiTheme="minorEastAsia" w:eastAsiaTheme="minorEastAsia" w:cstheme="minorEastAsia"/>
          <w:b/>
          <w:bCs/>
          <w:kern w:val="0"/>
          <w:sz w:val="24"/>
          <w:szCs w:val="24"/>
          <w:lang w:val="en-US" w:eastAsia="zh-CN" w:bidi="ar-SA"/>
        </w:rPr>
        <w:t xml:space="preserve"> 3.为政府相关部门制定职业教育人才政策提供决策咨询服务。</w:t>
      </w:r>
      <w:r>
        <w:rPr>
          <w:rFonts w:hint="eastAsia" w:asciiTheme="minorEastAsia" w:hAnsiTheme="minorEastAsia" w:eastAsiaTheme="minorEastAsia" w:cstheme="minorEastAsia"/>
          <w:b w:val="0"/>
          <w:bCs w:val="0"/>
          <w:kern w:val="0"/>
          <w:sz w:val="24"/>
          <w:szCs w:val="24"/>
          <w:lang w:val="en-US" w:eastAsia="zh-CN" w:bidi="ar-SA"/>
        </w:rPr>
        <w:t>通过教职工状况及其诉求和职业院校人才吸引力的关系研究，为教育行政部门和人保部门制定职业教育人才政策和薪酬分配政策提供决策咨询服务。</w:t>
      </w:r>
    </w:p>
    <w:bookmarkEnd w:id="5"/>
    <w:p>
      <w:pPr>
        <w:pStyle w:val="2"/>
        <w:pageBreakBefore w:val="0"/>
        <w:kinsoku/>
        <w:wordWrap/>
        <w:overflowPunct/>
        <w:topLinePunct w:val="0"/>
        <w:autoSpaceDE/>
        <w:autoSpaceDN/>
        <w:bidi w:val="0"/>
        <w:adjustRightInd/>
        <w:snapToGrid/>
        <w:spacing w:before="0" w:after="0" w:line="240" w:lineRule="auto"/>
        <w:ind w:right="0" w:rightChars="0" w:firstLine="482" w:firstLineChars="200"/>
        <w:textAlignment w:val="auto"/>
        <w:rPr>
          <w:rFonts w:hint="eastAsia" w:asciiTheme="minorEastAsia" w:hAnsiTheme="minorEastAsia" w:eastAsiaTheme="minorEastAsia" w:cstheme="minorEastAsia"/>
          <w:sz w:val="24"/>
          <w:szCs w:val="24"/>
        </w:rPr>
      </w:pPr>
      <w:bookmarkStart w:id="6" w:name="_Toc411199101"/>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二、研究内容与方法</w:t>
      </w:r>
      <w:bookmarkEnd w:id="6"/>
    </w:p>
    <w:p>
      <w:pPr>
        <w:pStyle w:val="3"/>
        <w:pageBreakBefore w:val="0"/>
        <w:kinsoku/>
        <w:wordWrap/>
        <w:overflowPunct/>
        <w:topLinePunct w:val="0"/>
        <w:autoSpaceDE/>
        <w:autoSpaceDN/>
        <w:bidi w:val="0"/>
        <w:adjustRightInd/>
        <w:snapToGrid/>
        <w:spacing w:before="0" w:after="0" w:line="240" w:lineRule="auto"/>
        <w:ind w:right="0" w:rightChars="0" w:firstLine="482" w:firstLineChars="200"/>
        <w:textAlignment w:val="auto"/>
        <w:rPr>
          <w:rFonts w:hint="eastAsia" w:asciiTheme="minorEastAsia" w:hAnsiTheme="minorEastAsia" w:eastAsiaTheme="minorEastAsia" w:cstheme="minorEastAsia"/>
          <w:sz w:val="24"/>
          <w:szCs w:val="24"/>
        </w:rPr>
      </w:pPr>
      <w:bookmarkStart w:id="7" w:name="_Toc411199102"/>
      <w:r>
        <w:rPr>
          <w:rFonts w:hint="eastAsia" w:asciiTheme="minorEastAsia" w:hAnsiTheme="minorEastAsia" w:eastAsiaTheme="minorEastAsia" w:cstheme="minorEastAsia"/>
          <w:sz w:val="24"/>
          <w:szCs w:val="24"/>
        </w:rPr>
        <w:t>（一）研究内容</w:t>
      </w:r>
      <w:bookmarkEnd w:id="7"/>
    </w:p>
    <w:p>
      <w:pPr>
        <w:pageBreakBefore w:val="0"/>
        <w:widowControl/>
        <w:kinsoku/>
        <w:wordWrap/>
        <w:overflowPunct/>
        <w:topLinePunct w:val="0"/>
        <w:autoSpaceDE/>
        <w:autoSpaceDN/>
        <w:bidi w:val="0"/>
        <w:adjustRightInd/>
        <w:snapToGrid/>
        <w:spacing w:line="240" w:lineRule="auto"/>
        <w:ind w:right="0" w:rightChars="0" w:firstLine="420" w:firstLineChars="20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目前对于职业院校教职工状况和诉求的研究还未见相关成果发表，所以本课题的研究对象聚焦职业院校的教职工。且本研究对中等职业学校和高等职业院校两个层次的教职工进行研究。主要研究内容如下。</w:t>
      </w:r>
    </w:p>
    <w:p>
      <w:pPr>
        <w:pageBreakBefore w:val="0"/>
        <w:widowControl/>
        <w:kinsoku/>
        <w:wordWrap/>
        <w:overflowPunct/>
        <w:topLinePunct w:val="0"/>
        <w:autoSpaceDE/>
        <w:autoSpaceDN/>
        <w:bidi w:val="0"/>
        <w:adjustRightInd/>
        <w:snapToGrid/>
        <w:spacing w:line="240" w:lineRule="auto"/>
        <w:ind w:right="0" w:rightChars="0" w:firstLine="422" w:firstLineChars="200"/>
        <w:jc w:val="left"/>
        <w:textAlignment w:val="auto"/>
        <w:rPr>
          <w:rFonts w:hint="eastAsia" w:asciiTheme="minorEastAsia" w:hAnsiTheme="minorEastAsia" w:eastAsiaTheme="minorEastAsia" w:cstheme="minorEastAsia"/>
          <w:b/>
          <w:kern w:val="0"/>
          <w:sz w:val="24"/>
          <w:szCs w:val="24"/>
        </w:rPr>
      </w:pPr>
      <w:r>
        <w:rPr>
          <w:rFonts w:hint="eastAsia" w:asciiTheme="minorEastAsia" w:hAnsiTheme="minorEastAsia" w:eastAsiaTheme="minorEastAsia" w:cstheme="minorEastAsia"/>
          <w:b/>
          <w:kern w:val="0"/>
          <w:sz w:val="24"/>
          <w:szCs w:val="24"/>
        </w:rPr>
        <w:t>1.职业院校教职工状况调查研究</w:t>
      </w:r>
    </w:p>
    <w:p>
      <w:pPr>
        <w:pageBreakBefore w:val="0"/>
        <w:widowControl/>
        <w:kinsoku/>
        <w:wordWrap/>
        <w:overflowPunct/>
        <w:topLinePunct w:val="0"/>
        <w:autoSpaceDE/>
        <w:autoSpaceDN/>
        <w:bidi w:val="0"/>
        <w:adjustRightInd/>
        <w:snapToGrid/>
        <w:spacing w:line="240" w:lineRule="auto"/>
        <w:ind w:right="0" w:rightChars="0" w:firstLine="420" w:firstLineChars="20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主要从三个方面调研职业院校教职工状况，第一，工作状况，包括工作动力、工作压力、职业认同、职业期待、职业挫败等。第二，生活状况，包括经济收入、身体健康、幸福感等。第三，思想状况，包括价值观、人生观，人才观、教育观等。与前人的研究相比，职业院校教职工状况范畴的扩大是本研究的创新之处，驾驭囊括工作、生活和思想三个方面的状况调研是预计突破的难点。如何集中呈现上海职业院校教职工多方面的真实状况是本课题拟解决的关键问题。</w:t>
      </w:r>
    </w:p>
    <w:p>
      <w:pPr>
        <w:pageBreakBefore w:val="0"/>
        <w:widowControl/>
        <w:kinsoku/>
        <w:wordWrap/>
        <w:overflowPunct/>
        <w:topLinePunct w:val="0"/>
        <w:autoSpaceDE/>
        <w:autoSpaceDN/>
        <w:bidi w:val="0"/>
        <w:adjustRightInd/>
        <w:snapToGrid/>
        <w:spacing w:line="240" w:lineRule="auto"/>
        <w:ind w:right="0" w:rightChars="0" w:firstLine="422" w:firstLineChars="200"/>
        <w:jc w:val="left"/>
        <w:textAlignment w:val="auto"/>
        <w:rPr>
          <w:rFonts w:hint="eastAsia" w:asciiTheme="minorEastAsia" w:hAnsiTheme="minorEastAsia" w:eastAsiaTheme="minorEastAsia" w:cstheme="minorEastAsia"/>
          <w:b/>
          <w:kern w:val="0"/>
          <w:sz w:val="24"/>
          <w:szCs w:val="24"/>
        </w:rPr>
      </w:pPr>
      <w:r>
        <w:rPr>
          <w:rFonts w:hint="eastAsia" w:asciiTheme="minorEastAsia" w:hAnsiTheme="minorEastAsia" w:eastAsiaTheme="minorEastAsia" w:cstheme="minorEastAsia"/>
          <w:b/>
          <w:kern w:val="0"/>
          <w:sz w:val="24"/>
          <w:szCs w:val="24"/>
        </w:rPr>
        <w:t>2.职业院校教职工核心诉求调查研究</w:t>
      </w:r>
    </w:p>
    <w:p>
      <w:pPr>
        <w:pageBreakBefore w:val="0"/>
        <w:widowControl/>
        <w:kinsoku/>
        <w:wordWrap/>
        <w:overflowPunct/>
        <w:topLinePunct w:val="0"/>
        <w:autoSpaceDE/>
        <w:autoSpaceDN/>
        <w:bidi w:val="0"/>
        <w:adjustRightInd/>
        <w:snapToGrid/>
        <w:spacing w:line="240" w:lineRule="auto"/>
        <w:ind w:right="0" w:rightChars="0" w:firstLine="420" w:firstLineChars="20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主要围绕职业院校教职工的工作和生活两大方面的核心诉求展开调研。工作方面涉及教职工的工作环境、工作氛围、职业上升通道，职业回报，职业优越感、外界看法等。生活方面涉及教职工薪酬收入、福利待遇、人文关怀等。如何获取我市职业院校教职工现阶段在工作和生活两个方面的核心诉求是本课题要解决的关键问题，也是拟突破的难点。</w:t>
      </w:r>
    </w:p>
    <w:p>
      <w:pPr>
        <w:pageBreakBefore w:val="0"/>
        <w:widowControl/>
        <w:kinsoku/>
        <w:wordWrap/>
        <w:overflowPunct/>
        <w:topLinePunct w:val="0"/>
        <w:autoSpaceDE/>
        <w:autoSpaceDN/>
        <w:bidi w:val="0"/>
        <w:adjustRightInd/>
        <w:snapToGrid/>
        <w:spacing w:line="240" w:lineRule="auto"/>
        <w:ind w:right="0" w:rightChars="0" w:firstLine="422" w:firstLineChars="200"/>
        <w:jc w:val="left"/>
        <w:textAlignment w:val="auto"/>
        <w:rPr>
          <w:rFonts w:hint="eastAsia" w:asciiTheme="minorEastAsia" w:hAnsiTheme="minorEastAsia" w:eastAsiaTheme="minorEastAsia" w:cstheme="minorEastAsia"/>
          <w:b/>
          <w:kern w:val="0"/>
          <w:sz w:val="24"/>
          <w:szCs w:val="24"/>
        </w:rPr>
      </w:pPr>
      <w:r>
        <w:rPr>
          <w:rFonts w:hint="eastAsia" w:asciiTheme="minorEastAsia" w:hAnsiTheme="minorEastAsia" w:eastAsiaTheme="minorEastAsia" w:cstheme="minorEastAsia"/>
          <w:b/>
          <w:kern w:val="0"/>
          <w:sz w:val="24"/>
          <w:szCs w:val="24"/>
        </w:rPr>
        <w:t>3.职业院校教职工状况及其诉求的社会影响研究</w:t>
      </w:r>
    </w:p>
    <w:p>
      <w:pPr>
        <w:pageBreakBefore w:val="0"/>
        <w:widowControl/>
        <w:kinsoku/>
        <w:wordWrap/>
        <w:overflowPunct/>
        <w:topLinePunct w:val="0"/>
        <w:autoSpaceDE/>
        <w:autoSpaceDN/>
        <w:bidi w:val="0"/>
        <w:adjustRightInd/>
        <w:snapToGrid/>
        <w:spacing w:line="240" w:lineRule="auto"/>
        <w:ind w:right="0" w:rightChars="0" w:firstLine="420" w:firstLineChars="20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前面两项研究内容是本课题需要研究的重点内容，但属于表象的研究内容，是研究的第一步，最终目的是研究职业院校教职工状况及其诉求的社会影响。主要研究以下三对关系：职业院校教职工状况及其诉求与职业院校人才吸引力的关系研究，职业院校教职工状况及其诉求与教师长远发展的关系研究，职业院校教职工状况及其诉求与学生培养质量关系研究等。</w:t>
      </w:r>
    </w:p>
    <w:p>
      <w:pPr>
        <w:pageBreakBefore w:val="0"/>
        <w:widowControl/>
        <w:kinsoku/>
        <w:wordWrap/>
        <w:overflowPunct/>
        <w:topLinePunct w:val="0"/>
        <w:autoSpaceDE/>
        <w:autoSpaceDN/>
        <w:bidi w:val="0"/>
        <w:adjustRightInd/>
        <w:snapToGrid/>
        <w:spacing w:line="240" w:lineRule="auto"/>
        <w:ind w:right="0" w:rightChars="0" w:firstLine="422" w:firstLineChars="200"/>
        <w:jc w:val="left"/>
        <w:textAlignment w:val="auto"/>
        <w:rPr>
          <w:rFonts w:hint="eastAsia" w:asciiTheme="minorEastAsia" w:hAnsiTheme="minorEastAsia" w:eastAsiaTheme="minorEastAsia" w:cstheme="minorEastAsia"/>
          <w:b/>
          <w:kern w:val="0"/>
          <w:sz w:val="24"/>
          <w:szCs w:val="24"/>
        </w:rPr>
      </w:pPr>
      <w:r>
        <w:rPr>
          <w:rFonts w:hint="eastAsia" w:asciiTheme="minorEastAsia" w:hAnsiTheme="minorEastAsia" w:eastAsiaTheme="minorEastAsia" w:cstheme="minorEastAsia"/>
          <w:b/>
          <w:kern w:val="0"/>
          <w:sz w:val="24"/>
          <w:szCs w:val="24"/>
        </w:rPr>
        <w:t>4.职业院校教职工诉求回应机制和策略研究</w:t>
      </w:r>
    </w:p>
    <w:p>
      <w:pPr>
        <w:pageBreakBefore w:val="0"/>
        <w:kinsoku/>
        <w:wordWrap/>
        <w:overflowPunct/>
        <w:topLinePunct w:val="0"/>
        <w:autoSpaceDE/>
        <w:autoSpaceDN/>
        <w:bidi w:val="0"/>
        <w:adjustRightInd/>
        <w:snapToGrid/>
        <w:spacing w:line="240" w:lineRule="auto"/>
        <w:ind w:right="0" w:rightChars="0"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职业院校教职工状况和诉求会产生许多深层次的社会影响，特别是负面的状况和强烈的诉求，而负面状况和强烈诉求又相互影响。所以如何有效回应职业院校教职工强烈诉求是本课题重要研究内容。根据调查结果，通过国际比较研究，借鉴国际上回应教职工诉求的有效做法，构建具有上海特色的职业院校教职工诉求回应机制。</w:t>
      </w:r>
    </w:p>
    <w:p>
      <w:pPr>
        <w:pStyle w:val="3"/>
        <w:pageBreakBefore w:val="0"/>
        <w:kinsoku/>
        <w:wordWrap/>
        <w:overflowPunct/>
        <w:topLinePunct w:val="0"/>
        <w:autoSpaceDE/>
        <w:autoSpaceDN/>
        <w:bidi w:val="0"/>
        <w:adjustRightInd/>
        <w:snapToGrid/>
        <w:spacing w:before="0" w:after="0" w:line="240" w:lineRule="auto"/>
        <w:ind w:right="0" w:rightChars="0" w:firstLine="482" w:firstLineChars="200"/>
        <w:textAlignment w:val="auto"/>
        <w:rPr>
          <w:rFonts w:hint="eastAsia" w:asciiTheme="minorEastAsia" w:hAnsiTheme="minorEastAsia" w:eastAsiaTheme="minorEastAsia" w:cstheme="minorEastAsia"/>
          <w:sz w:val="24"/>
          <w:szCs w:val="24"/>
        </w:rPr>
      </w:pPr>
      <w:bookmarkStart w:id="8" w:name="_Toc411199104"/>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lang w:eastAsia="zh-CN"/>
        </w:rPr>
        <w:t>二</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sz w:val="24"/>
          <w:szCs w:val="24"/>
        </w:rPr>
        <w:t>研究思路与方法</w:t>
      </w:r>
      <w:bookmarkEnd w:id="8"/>
    </w:p>
    <w:p>
      <w:pPr>
        <w:pageBreakBefore w:val="0"/>
        <w:widowControl/>
        <w:kinsoku/>
        <w:wordWrap/>
        <w:overflowPunct/>
        <w:topLinePunct w:val="0"/>
        <w:autoSpaceDE/>
        <w:autoSpaceDN/>
        <w:bidi w:val="0"/>
        <w:adjustRightInd/>
        <w:snapToGrid/>
        <w:spacing w:line="240" w:lineRule="auto"/>
        <w:ind w:right="0" w:rightChars="0" w:firstLine="422" w:firstLineChars="200"/>
        <w:jc w:val="left"/>
        <w:textAlignment w:val="auto"/>
        <w:rPr>
          <w:rFonts w:hint="eastAsia" w:asciiTheme="minorEastAsia" w:hAnsiTheme="minorEastAsia" w:eastAsiaTheme="minorEastAsia" w:cstheme="minorEastAsia"/>
          <w:b/>
          <w:kern w:val="0"/>
          <w:sz w:val="24"/>
          <w:szCs w:val="24"/>
        </w:rPr>
      </w:pPr>
      <w:r>
        <w:rPr>
          <w:rFonts w:hint="eastAsia" w:asciiTheme="minorEastAsia" w:hAnsiTheme="minorEastAsia" w:eastAsiaTheme="minorEastAsia" w:cstheme="minorEastAsia"/>
          <w:b/>
          <w:kern w:val="0"/>
          <w:sz w:val="24"/>
          <w:szCs w:val="24"/>
          <w:lang w:val="en-US" w:eastAsia="zh-CN"/>
        </w:rPr>
        <w:t xml:space="preserve"> </w:t>
      </w:r>
      <w:r>
        <w:rPr>
          <w:rFonts w:hint="eastAsia" w:asciiTheme="minorEastAsia" w:hAnsiTheme="minorEastAsia" w:eastAsiaTheme="minorEastAsia" w:cstheme="minorEastAsia"/>
          <w:b/>
          <w:kern w:val="0"/>
          <w:sz w:val="24"/>
          <w:szCs w:val="24"/>
        </w:rPr>
        <w:t>1.研究思路</w:t>
      </w:r>
    </w:p>
    <w:p>
      <w:pPr>
        <w:pageBreakBefore w:val="0"/>
        <w:widowControl/>
        <w:kinsoku/>
        <w:wordWrap/>
        <w:overflowPunct/>
        <w:topLinePunct w:val="0"/>
        <w:autoSpaceDE/>
        <w:autoSpaceDN/>
        <w:bidi w:val="0"/>
        <w:adjustRightInd/>
        <w:snapToGrid/>
        <w:spacing w:line="240" w:lineRule="auto"/>
        <w:ind w:left="75" w:right="0" w:rightChars="0" w:firstLine="42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（1）问卷设计。通过召开职业院校教职工代表座谈会，进行教职工状况和诉求调研问卷设计的头脑风暴，广泛收集能真实体现教职工状况和核心诉求的问卷主题内容。</w:t>
      </w:r>
    </w:p>
    <w:p>
      <w:pPr>
        <w:pageBreakBefore w:val="0"/>
        <w:widowControl/>
        <w:kinsoku/>
        <w:wordWrap/>
        <w:overflowPunct/>
        <w:topLinePunct w:val="0"/>
        <w:autoSpaceDE/>
        <w:autoSpaceDN/>
        <w:bidi w:val="0"/>
        <w:adjustRightInd/>
        <w:snapToGrid/>
        <w:spacing w:line="240" w:lineRule="auto"/>
        <w:ind w:left="75" w:right="0" w:rightChars="0" w:firstLine="42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（2）问卷编制和发放。并进行问卷试测，符合要求后对中等职校、高职院校教职工进行适度规模的问卷发放和回收。</w:t>
      </w:r>
    </w:p>
    <w:p>
      <w:pPr>
        <w:pageBreakBefore w:val="0"/>
        <w:widowControl/>
        <w:kinsoku/>
        <w:wordWrap/>
        <w:overflowPunct/>
        <w:topLinePunct w:val="0"/>
        <w:autoSpaceDE/>
        <w:autoSpaceDN/>
        <w:bidi w:val="0"/>
        <w:adjustRightInd/>
        <w:snapToGrid/>
        <w:spacing w:line="240" w:lineRule="auto"/>
        <w:ind w:left="75" w:right="0" w:rightChars="0" w:firstLine="42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（3）问卷分析。对问卷的内容进行汇总、统计分析，分析职业院校教职工状况水平。</w:t>
      </w:r>
    </w:p>
    <w:p>
      <w:pPr>
        <w:pageBreakBefore w:val="0"/>
        <w:widowControl/>
        <w:kinsoku/>
        <w:wordWrap/>
        <w:overflowPunct/>
        <w:topLinePunct w:val="0"/>
        <w:autoSpaceDE/>
        <w:autoSpaceDN/>
        <w:bidi w:val="0"/>
        <w:adjustRightInd/>
        <w:snapToGrid/>
        <w:spacing w:line="240" w:lineRule="auto"/>
        <w:ind w:left="75" w:right="0" w:rightChars="0" w:firstLine="42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（4）深度访谈。对不能或不能有效用问卷方式搜集的教职工诉求及其深层次原因等进行访谈，选择两类职业院校的中层干部进行深度访谈。</w:t>
      </w:r>
    </w:p>
    <w:p>
      <w:pPr>
        <w:pageBreakBefore w:val="0"/>
        <w:widowControl/>
        <w:kinsoku/>
        <w:wordWrap/>
        <w:overflowPunct/>
        <w:topLinePunct w:val="0"/>
        <w:autoSpaceDE/>
        <w:autoSpaceDN/>
        <w:bidi w:val="0"/>
        <w:adjustRightInd/>
        <w:snapToGrid/>
        <w:spacing w:line="240" w:lineRule="auto"/>
        <w:ind w:left="75" w:right="0" w:rightChars="0" w:firstLine="42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（4）综合分析。对以上方式获取的职业院校教职工状况及其诉求等进行综合分析，研究其可能的社会影响，并提出有效回应教职工诉求的机制和策略。</w:t>
      </w:r>
    </w:p>
    <w:p>
      <w:pPr>
        <w:pageBreakBefore w:val="0"/>
        <w:widowControl/>
        <w:kinsoku/>
        <w:wordWrap/>
        <w:overflowPunct/>
        <w:topLinePunct w:val="0"/>
        <w:autoSpaceDE/>
        <w:autoSpaceDN/>
        <w:bidi w:val="0"/>
        <w:adjustRightInd/>
        <w:snapToGrid/>
        <w:spacing w:line="240" w:lineRule="auto"/>
        <w:ind w:left="75" w:right="0" w:rightChars="0" w:firstLine="422" w:firstLineChars="200"/>
        <w:textAlignment w:val="auto"/>
        <w:rPr>
          <w:rFonts w:hint="eastAsia" w:asciiTheme="minorEastAsia" w:hAnsiTheme="minorEastAsia" w:eastAsiaTheme="minorEastAsia" w:cstheme="minorEastAsia"/>
          <w:b/>
          <w:kern w:val="0"/>
          <w:sz w:val="24"/>
          <w:szCs w:val="24"/>
        </w:rPr>
      </w:pPr>
      <w:r>
        <w:rPr>
          <w:rFonts w:hint="eastAsia" w:asciiTheme="minorEastAsia" w:hAnsiTheme="minorEastAsia" w:eastAsiaTheme="minorEastAsia" w:cstheme="minorEastAsia"/>
          <w:b/>
          <w:kern w:val="0"/>
          <w:sz w:val="24"/>
          <w:szCs w:val="24"/>
        </w:rPr>
        <w:t>2.研究</w:t>
      </w:r>
      <w:r>
        <w:rPr>
          <w:rFonts w:hint="eastAsia" w:asciiTheme="minorEastAsia" w:hAnsiTheme="minorEastAsia" w:eastAsiaTheme="minorEastAsia" w:cstheme="minorEastAsia"/>
          <w:b/>
          <w:kern w:val="0"/>
          <w:sz w:val="24"/>
          <w:szCs w:val="24"/>
          <w:lang w:eastAsia="zh-CN"/>
        </w:rPr>
        <w:t>过程与</w:t>
      </w:r>
      <w:r>
        <w:rPr>
          <w:rFonts w:hint="eastAsia" w:asciiTheme="minorEastAsia" w:hAnsiTheme="minorEastAsia" w:eastAsiaTheme="minorEastAsia" w:cstheme="minorEastAsia"/>
          <w:b/>
          <w:kern w:val="0"/>
          <w:sz w:val="24"/>
          <w:szCs w:val="24"/>
        </w:rPr>
        <w:t>方法</w:t>
      </w:r>
    </w:p>
    <w:p>
      <w:pPr>
        <w:pageBreakBefore w:val="0"/>
        <w:widowControl/>
        <w:kinsoku/>
        <w:wordWrap/>
        <w:overflowPunct/>
        <w:topLinePunct w:val="0"/>
        <w:autoSpaceDE/>
        <w:autoSpaceDN/>
        <w:bidi w:val="0"/>
        <w:adjustRightInd/>
        <w:snapToGrid/>
        <w:spacing w:line="240" w:lineRule="auto"/>
        <w:ind w:left="75" w:right="0" w:rightChars="0" w:firstLine="42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2016年6月，在上海教育工会理论研究会的组织下，听取了肖巍教授《关于提高劳动与工会研究质量的若干问题》和石云教授《课题研究的基本要求》的讲座。通过培训讲座的学习，确立了调查研究类课题的基本研究路径，包括分析框架的形成应以理论研究为基础，理论研究的重要作用是价值判断和分析框架。重新调整问卷编制的路径和方法，明确问卷设计的基本依据，即建立在前人研究的缺陷和不足，以及理论研究分析框架之上。</w:t>
      </w:r>
    </w:p>
    <w:p>
      <w:pPr>
        <w:pageBreakBefore w:val="0"/>
        <w:kinsoku/>
        <w:wordWrap/>
        <w:overflowPunct/>
        <w:topLinePunct w:val="0"/>
        <w:autoSpaceDE/>
        <w:autoSpaceDN/>
        <w:bidi w:val="0"/>
        <w:adjustRightInd/>
        <w:snapToGrid/>
        <w:spacing w:line="240" w:lineRule="auto"/>
        <w:ind w:right="0" w:rightChars="0" w:firstLine="480" w:firstLineChars="200"/>
        <w:textAlignment w:val="auto"/>
        <w:rPr>
          <w:rFonts w:hint="eastAsia" w:asciiTheme="minorEastAsia" w:hAnsiTheme="minorEastAsia" w:eastAsiaTheme="minorEastAsia" w:cstheme="minorEastAsia"/>
          <w:b/>
          <w:bCs w:val="0"/>
          <w:color w:val="000000"/>
          <w:kern w:val="0"/>
          <w:sz w:val="24"/>
          <w:szCs w:val="24"/>
        </w:rPr>
      </w:pPr>
      <w:r>
        <w:rPr>
          <w:rFonts w:hint="eastAsia" w:asciiTheme="minorEastAsia" w:hAnsiTheme="minorEastAsia" w:eastAsiaTheme="minorEastAsia" w:cstheme="minorEastAsia"/>
          <w:b/>
          <w:bCs w:val="0"/>
          <w:color w:val="000000"/>
          <w:kern w:val="0"/>
          <w:sz w:val="24"/>
          <w:szCs w:val="24"/>
        </w:rPr>
        <w:t>（1）研究过程</w:t>
      </w:r>
    </w:p>
    <w:tbl>
      <w:tblPr>
        <w:tblStyle w:val="14"/>
        <w:tblW w:w="835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2"/>
        <w:gridCol w:w="59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2442" w:type="dxa"/>
            <w:vAlign w:val="center"/>
          </w:tcPr>
          <w:p>
            <w:pPr>
              <w:pageBreakBefore w:val="0"/>
              <w:kinsoku/>
              <w:wordWrap/>
              <w:overflowPunct/>
              <w:topLinePunct w:val="0"/>
              <w:autoSpaceDE/>
              <w:autoSpaceDN/>
              <w:bidi w:val="0"/>
              <w:adjustRightInd/>
              <w:snapToGrid/>
              <w:spacing w:line="240" w:lineRule="auto"/>
              <w:ind w:right="0" w:rightChars="0"/>
              <w:jc w:val="center"/>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时 间</w:t>
            </w:r>
          </w:p>
        </w:tc>
        <w:tc>
          <w:tcPr>
            <w:tcW w:w="5911" w:type="dxa"/>
            <w:vAlign w:val="center"/>
          </w:tcPr>
          <w:p>
            <w:pPr>
              <w:pageBreakBefore w:val="0"/>
              <w:kinsoku/>
              <w:wordWrap/>
              <w:overflowPunct/>
              <w:topLinePunct w:val="0"/>
              <w:autoSpaceDE/>
              <w:autoSpaceDN/>
              <w:bidi w:val="0"/>
              <w:adjustRightInd/>
              <w:snapToGrid/>
              <w:spacing w:line="240" w:lineRule="auto"/>
              <w:ind w:right="0" w:rightChars="0"/>
              <w:jc w:val="center"/>
              <w:textAlignment w:val="auto"/>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bCs w:val="0"/>
                <w:sz w:val="24"/>
                <w:szCs w:val="24"/>
              </w:rPr>
              <w:t>课题研究进程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jc w:val="center"/>
        </w:trPr>
        <w:tc>
          <w:tcPr>
            <w:tcW w:w="2442" w:type="dxa"/>
            <w:vAlign w:val="center"/>
          </w:tcPr>
          <w:p>
            <w:pPr>
              <w:pageBreakBefore w:val="0"/>
              <w:kinsoku/>
              <w:wordWrap/>
              <w:overflowPunct/>
              <w:topLinePunct w:val="0"/>
              <w:autoSpaceDE/>
              <w:autoSpaceDN/>
              <w:bidi w:val="0"/>
              <w:adjustRightInd/>
              <w:snapToGrid/>
              <w:spacing w:line="240" w:lineRule="auto"/>
              <w:ind w:right="0" w:right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rPr>
              <w:t>201</w:t>
            </w:r>
            <w:r>
              <w:rPr>
                <w:rFonts w:hint="eastAsia" w:asciiTheme="minorEastAsia" w:hAnsiTheme="minorEastAsia" w:eastAsiaTheme="minorEastAsia" w:cstheme="minorEastAsia"/>
                <w:kern w:val="0"/>
                <w:sz w:val="24"/>
                <w:szCs w:val="24"/>
                <w:lang w:val="en-US" w:eastAsia="zh-CN"/>
              </w:rPr>
              <w:t>6</w:t>
            </w:r>
            <w:r>
              <w:rPr>
                <w:rFonts w:hint="eastAsia" w:asciiTheme="minorEastAsia" w:hAnsiTheme="minorEastAsia" w:eastAsiaTheme="minorEastAsia" w:cstheme="minorEastAsia"/>
                <w:kern w:val="0"/>
                <w:sz w:val="24"/>
                <w:szCs w:val="24"/>
              </w:rPr>
              <w:t>年7月</w:t>
            </w:r>
            <w:r>
              <w:rPr>
                <w:rFonts w:hint="eastAsia" w:asciiTheme="minorEastAsia" w:hAnsiTheme="minorEastAsia" w:eastAsiaTheme="minorEastAsia" w:cstheme="minorEastAsia"/>
                <w:kern w:val="0"/>
                <w:sz w:val="24"/>
                <w:szCs w:val="24"/>
                <w:lang w:val="en-US" w:eastAsia="zh-CN"/>
              </w:rPr>
              <w:t>10日</w:t>
            </w:r>
          </w:p>
        </w:tc>
        <w:tc>
          <w:tcPr>
            <w:tcW w:w="5911" w:type="dxa"/>
            <w:vAlign w:val="center"/>
          </w:tcPr>
          <w:p>
            <w:pPr>
              <w:pageBreakBefore w:val="0"/>
              <w:kinsoku/>
              <w:wordWrap/>
              <w:overflowPunct/>
              <w:topLinePunct w:val="0"/>
              <w:autoSpaceDE/>
              <w:autoSpaceDN/>
              <w:bidi w:val="0"/>
              <w:adjustRightInd/>
              <w:snapToGrid/>
              <w:spacing w:line="240" w:lineRule="auto"/>
              <w:ind w:right="0" w:rightChars="0"/>
              <w:jc w:val="center"/>
              <w:textAlignment w:val="auto"/>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课题开题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9" w:hRule="atLeast"/>
          <w:jc w:val="center"/>
        </w:trPr>
        <w:tc>
          <w:tcPr>
            <w:tcW w:w="2442" w:type="dxa"/>
            <w:vAlign w:val="center"/>
          </w:tcPr>
          <w:p>
            <w:pPr>
              <w:pageBreakBefore w:val="0"/>
              <w:kinsoku/>
              <w:wordWrap/>
              <w:overflowPunct/>
              <w:topLinePunct w:val="0"/>
              <w:autoSpaceDE/>
              <w:autoSpaceDN/>
              <w:bidi w:val="0"/>
              <w:adjustRightInd/>
              <w:snapToGrid/>
              <w:spacing w:line="240" w:lineRule="auto"/>
              <w:ind w:right="0" w:right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rPr>
              <w:t>201</w:t>
            </w:r>
            <w:r>
              <w:rPr>
                <w:rFonts w:hint="eastAsia" w:asciiTheme="minorEastAsia" w:hAnsiTheme="minorEastAsia" w:eastAsiaTheme="minorEastAsia" w:cstheme="minorEastAsia"/>
                <w:kern w:val="0"/>
                <w:sz w:val="24"/>
                <w:szCs w:val="24"/>
                <w:lang w:val="en-US" w:eastAsia="zh-CN"/>
              </w:rPr>
              <w:t>6</w:t>
            </w:r>
            <w:r>
              <w:rPr>
                <w:rFonts w:hint="eastAsia" w:asciiTheme="minorEastAsia" w:hAnsiTheme="minorEastAsia" w:eastAsiaTheme="minorEastAsia" w:cstheme="minorEastAsia"/>
                <w:kern w:val="0"/>
                <w:sz w:val="24"/>
                <w:szCs w:val="24"/>
              </w:rPr>
              <w:t>年</w:t>
            </w:r>
            <w:r>
              <w:rPr>
                <w:rFonts w:hint="eastAsia" w:asciiTheme="minorEastAsia" w:hAnsiTheme="minorEastAsia" w:eastAsiaTheme="minorEastAsia" w:cstheme="minorEastAsia"/>
                <w:kern w:val="0"/>
                <w:sz w:val="24"/>
                <w:szCs w:val="24"/>
                <w:lang w:val="en-US" w:eastAsia="zh-CN"/>
              </w:rPr>
              <w:t>7</w:t>
            </w:r>
            <w:r>
              <w:rPr>
                <w:rFonts w:hint="eastAsia" w:asciiTheme="minorEastAsia" w:hAnsiTheme="minorEastAsia" w:eastAsiaTheme="minorEastAsia" w:cstheme="minorEastAsia"/>
                <w:kern w:val="0"/>
                <w:sz w:val="24"/>
                <w:szCs w:val="24"/>
              </w:rPr>
              <w:t>月</w:t>
            </w:r>
          </w:p>
        </w:tc>
        <w:tc>
          <w:tcPr>
            <w:tcW w:w="5911" w:type="dxa"/>
            <w:vAlign w:val="center"/>
          </w:tcPr>
          <w:p>
            <w:pPr>
              <w:pageBreakBefore w:val="0"/>
              <w:kinsoku/>
              <w:wordWrap/>
              <w:overflowPunct/>
              <w:topLinePunct w:val="0"/>
              <w:autoSpaceDE/>
              <w:autoSpaceDN/>
              <w:bidi w:val="0"/>
              <w:adjustRightInd/>
              <w:snapToGrid/>
              <w:spacing w:line="240" w:lineRule="auto"/>
              <w:ind w:right="0" w:rightChars="0"/>
              <w:jc w:val="center"/>
              <w:textAlignment w:val="auto"/>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根据开题专家意见，进行总体设计和规划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2442" w:type="dxa"/>
            <w:vAlign w:val="center"/>
          </w:tcPr>
          <w:p>
            <w:pPr>
              <w:pageBreakBefore w:val="0"/>
              <w:kinsoku/>
              <w:wordWrap/>
              <w:overflowPunct/>
              <w:topLinePunct w:val="0"/>
              <w:autoSpaceDE/>
              <w:autoSpaceDN/>
              <w:bidi w:val="0"/>
              <w:adjustRightInd/>
              <w:snapToGrid/>
              <w:spacing w:line="240" w:lineRule="auto"/>
              <w:ind w:right="0" w:rightChars="0"/>
              <w:jc w:val="center"/>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阶段一</w:t>
            </w:r>
          </w:p>
        </w:tc>
        <w:tc>
          <w:tcPr>
            <w:tcW w:w="5911" w:type="dxa"/>
            <w:vAlign w:val="center"/>
          </w:tcPr>
          <w:p>
            <w:pPr>
              <w:pageBreakBefore w:val="0"/>
              <w:kinsoku/>
              <w:wordWrap/>
              <w:overflowPunct/>
              <w:topLinePunct w:val="0"/>
              <w:autoSpaceDE/>
              <w:autoSpaceDN/>
              <w:bidi w:val="0"/>
              <w:adjustRightInd/>
              <w:snapToGrid/>
              <w:spacing w:line="240" w:lineRule="auto"/>
              <w:ind w:right="0" w:rightChars="0"/>
              <w:jc w:val="center"/>
              <w:textAlignment w:val="auto"/>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理论研究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 w:hRule="atLeast"/>
          <w:jc w:val="center"/>
        </w:trPr>
        <w:tc>
          <w:tcPr>
            <w:tcW w:w="2442" w:type="dxa"/>
            <w:vAlign w:val="center"/>
          </w:tcPr>
          <w:p>
            <w:pPr>
              <w:pageBreakBefore w:val="0"/>
              <w:kinsoku/>
              <w:wordWrap/>
              <w:overflowPunct/>
              <w:topLinePunct w:val="0"/>
              <w:autoSpaceDE/>
              <w:autoSpaceDN/>
              <w:bidi w:val="0"/>
              <w:adjustRightInd/>
              <w:snapToGrid/>
              <w:spacing w:line="240" w:lineRule="auto"/>
              <w:ind w:right="0" w:right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201</w:t>
            </w:r>
            <w:r>
              <w:rPr>
                <w:rFonts w:hint="eastAsia" w:asciiTheme="minorEastAsia" w:hAnsiTheme="minorEastAsia" w:eastAsiaTheme="minorEastAsia" w:cstheme="minorEastAsia"/>
                <w:sz w:val="24"/>
                <w:szCs w:val="24"/>
                <w:lang w:val="en-US" w:eastAsia="zh-CN"/>
              </w:rPr>
              <w:t>6</w:t>
            </w:r>
            <w:r>
              <w:rPr>
                <w:rFonts w:hint="eastAsia" w:asciiTheme="minorEastAsia" w:hAnsiTheme="minorEastAsia" w:eastAsiaTheme="minorEastAsia" w:cstheme="minorEastAsia"/>
                <w:sz w:val="24"/>
                <w:szCs w:val="24"/>
              </w:rPr>
              <w:t>年8月至9月</w:t>
            </w:r>
          </w:p>
        </w:tc>
        <w:tc>
          <w:tcPr>
            <w:tcW w:w="5911" w:type="dxa"/>
            <w:vAlign w:val="center"/>
          </w:tcPr>
          <w:p>
            <w:pPr>
              <w:pageBreakBefore w:val="0"/>
              <w:kinsoku/>
              <w:wordWrap/>
              <w:overflowPunct/>
              <w:topLinePunct w:val="0"/>
              <w:autoSpaceDE/>
              <w:autoSpaceDN/>
              <w:bidi w:val="0"/>
              <w:adjustRightInd/>
              <w:snapToGrid/>
              <w:spacing w:line="240" w:lineRule="auto"/>
              <w:ind w:right="0" w:rightChars="0"/>
              <w:jc w:val="center"/>
              <w:textAlignment w:val="auto"/>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资料搜集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jc w:val="center"/>
        </w:trPr>
        <w:tc>
          <w:tcPr>
            <w:tcW w:w="2442" w:type="dxa"/>
            <w:vAlign w:val="center"/>
          </w:tcPr>
          <w:p>
            <w:pPr>
              <w:pageBreakBefore w:val="0"/>
              <w:kinsoku/>
              <w:wordWrap/>
              <w:overflowPunct/>
              <w:topLinePunct w:val="0"/>
              <w:autoSpaceDE/>
              <w:autoSpaceDN/>
              <w:bidi w:val="0"/>
              <w:adjustRightInd/>
              <w:snapToGrid/>
              <w:spacing w:line="240" w:lineRule="auto"/>
              <w:ind w:right="0" w:right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201</w:t>
            </w:r>
            <w:r>
              <w:rPr>
                <w:rFonts w:hint="eastAsia" w:asciiTheme="minorEastAsia" w:hAnsiTheme="minorEastAsia" w:eastAsiaTheme="minorEastAsia" w:cstheme="minorEastAsia"/>
                <w:sz w:val="24"/>
                <w:szCs w:val="24"/>
                <w:lang w:val="en-US" w:eastAsia="zh-CN"/>
              </w:rPr>
              <w:t>6</w:t>
            </w:r>
            <w:r>
              <w:rPr>
                <w:rFonts w:hint="eastAsia" w:asciiTheme="minorEastAsia" w:hAnsiTheme="minorEastAsia" w:eastAsiaTheme="minorEastAsia" w:cstheme="minorEastAsia"/>
                <w:sz w:val="24"/>
                <w:szCs w:val="24"/>
              </w:rPr>
              <w:t>年10月</w:t>
            </w:r>
            <w:r>
              <w:rPr>
                <w:rFonts w:hint="eastAsia" w:asciiTheme="minorEastAsia" w:hAnsiTheme="minorEastAsia" w:eastAsiaTheme="minorEastAsia" w:cstheme="minorEastAsia"/>
                <w:sz w:val="24"/>
                <w:szCs w:val="24"/>
                <w:lang w:eastAsia="zh-CN"/>
              </w:rPr>
              <w:t>至</w:t>
            </w:r>
            <w:r>
              <w:rPr>
                <w:rFonts w:hint="eastAsia" w:asciiTheme="minorEastAsia" w:hAnsiTheme="minorEastAsia" w:eastAsiaTheme="minorEastAsia" w:cstheme="minorEastAsia"/>
                <w:sz w:val="24"/>
                <w:szCs w:val="24"/>
              </w:rPr>
              <w:t>11月</w:t>
            </w:r>
          </w:p>
        </w:tc>
        <w:tc>
          <w:tcPr>
            <w:tcW w:w="5911" w:type="dxa"/>
            <w:vAlign w:val="center"/>
          </w:tcPr>
          <w:p>
            <w:pPr>
              <w:pageBreakBefore w:val="0"/>
              <w:kinsoku/>
              <w:wordWrap/>
              <w:overflowPunct/>
              <w:topLinePunct w:val="0"/>
              <w:autoSpaceDE/>
              <w:autoSpaceDN/>
              <w:bidi w:val="0"/>
              <w:adjustRightInd/>
              <w:snapToGrid/>
              <w:spacing w:line="240" w:lineRule="auto"/>
              <w:ind w:right="0" w:rightChars="0"/>
              <w:jc w:val="center"/>
              <w:textAlignment w:val="auto"/>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理论综述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3" w:hRule="atLeast"/>
          <w:jc w:val="center"/>
        </w:trPr>
        <w:tc>
          <w:tcPr>
            <w:tcW w:w="2442" w:type="dxa"/>
            <w:vAlign w:val="center"/>
          </w:tcPr>
          <w:p>
            <w:pPr>
              <w:pageBreakBefore w:val="0"/>
              <w:kinsoku/>
              <w:wordWrap/>
              <w:overflowPunct/>
              <w:topLinePunct w:val="0"/>
              <w:autoSpaceDE/>
              <w:autoSpaceDN/>
              <w:bidi w:val="0"/>
              <w:adjustRightInd/>
              <w:snapToGrid/>
              <w:spacing w:line="240" w:lineRule="auto"/>
              <w:ind w:right="0" w:rightChars="0"/>
              <w:jc w:val="center"/>
              <w:textAlignment w:val="auto"/>
              <w:rPr>
                <w:rFonts w:hint="eastAsia" w:asciiTheme="minorEastAsia" w:hAnsiTheme="minorEastAsia" w:eastAsiaTheme="minorEastAsia" w:cstheme="minorEastAsia"/>
                <w:b/>
                <w:sz w:val="24"/>
                <w:szCs w:val="24"/>
                <w:lang w:val="en-US" w:eastAsia="zh-CN"/>
              </w:rPr>
            </w:pPr>
            <w:r>
              <w:rPr>
                <w:rFonts w:hint="eastAsia" w:asciiTheme="minorEastAsia" w:hAnsiTheme="minorEastAsia" w:eastAsiaTheme="minorEastAsia" w:cstheme="minorEastAsia"/>
                <w:b w:val="0"/>
                <w:bCs/>
                <w:sz w:val="24"/>
                <w:szCs w:val="24"/>
                <w:lang w:val="en-US" w:eastAsia="zh-CN"/>
              </w:rPr>
              <w:t>2016年10月9日</w:t>
            </w:r>
          </w:p>
        </w:tc>
        <w:tc>
          <w:tcPr>
            <w:tcW w:w="5911" w:type="dxa"/>
            <w:vAlign w:val="center"/>
          </w:tcPr>
          <w:p>
            <w:pPr>
              <w:pageBreakBefore w:val="0"/>
              <w:kinsoku/>
              <w:wordWrap/>
              <w:overflowPunct/>
              <w:topLinePunct w:val="0"/>
              <w:autoSpaceDE/>
              <w:autoSpaceDN/>
              <w:bidi w:val="0"/>
              <w:adjustRightInd/>
              <w:snapToGrid/>
              <w:spacing w:line="240" w:lineRule="auto"/>
              <w:ind w:right="0" w:rightChars="0"/>
              <w:jc w:val="center"/>
              <w:textAlignment w:val="auto"/>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eastAsia="zh-CN"/>
              </w:rPr>
              <w:t>课题中期汇报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3" w:hRule="atLeast"/>
          <w:jc w:val="center"/>
        </w:trPr>
        <w:tc>
          <w:tcPr>
            <w:tcW w:w="2442" w:type="dxa"/>
            <w:vAlign w:val="center"/>
          </w:tcPr>
          <w:p>
            <w:pPr>
              <w:pageBreakBefore w:val="0"/>
              <w:kinsoku/>
              <w:wordWrap/>
              <w:overflowPunct/>
              <w:topLinePunct w:val="0"/>
              <w:autoSpaceDE/>
              <w:autoSpaceDN/>
              <w:bidi w:val="0"/>
              <w:adjustRightInd/>
              <w:snapToGrid/>
              <w:spacing w:line="240" w:lineRule="auto"/>
              <w:ind w:right="0" w:rightChars="0"/>
              <w:jc w:val="center"/>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阶段二</w:t>
            </w:r>
          </w:p>
        </w:tc>
        <w:tc>
          <w:tcPr>
            <w:tcW w:w="5911" w:type="dxa"/>
            <w:vAlign w:val="center"/>
          </w:tcPr>
          <w:p>
            <w:pPr>
              <w:pageBreakBefore w:val="0"/>
              <w:kinsoku/>
              <w:wordWrap/>
              <w:overflowPunct/>
              <w:topLinePunct w:val="0"/>
              <w:autoSpaceDE/>
              <w:autoSpaceDN/>
              <w:bidi w:val="0"/>
              <w:adjustRightInd/>
              <w:snapToGrid/>
              <w:spacing w:line="240" w:lineRule="auto"/>
              <w:ind w:right="0" w:rightChars="0"/>
              <w:jc w:val="center"/>
              <w:textAlignment w:val="auto"/>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现状调研与分析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jc w:val="center"/>
        </w:trPr>
        <w:tc>
          <w:tcPr>
            <w:tcW w:w="2442" w:type="dxa"/>
            <w:vAlign w:val="center"/>
          </w:tcPr>
          <w:p>
            <w:pPr>
              <w:pageBreakBefore w:val="0"/>
              <w:kinsoku/>
              <w:wordWrap/>
              <w:overflowPunct/>
              <w:topLinePunct w:val="0"/>
              <w:autoSpaceDE/>
              <w:autoSpaceDN/>
              <w:bidi w:val="0"/>
              <w:adjustRightInd/>
              <w:snapToGrid/>
              <w:spacing w:line="240" w:lineRule="auto"/>
              <w:ind w:right="0" w:right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201</w:t>
            </w:r>
            <w:r>
              <w:rPr>
                <w:rFonts w:hint="eastAsia" w:asciiTheme="minorEastAsia" w:hAnsiTheme="minorEastAsia" w:eastAsiaTheme="minorEastAsia" w:cstheme="minorEastAsia"/>
                <w:sz w:val="24"/>
                <w:szCs w:val="24"/>
                <w:lang w:val="en-US" w:eastAsia="zh-CN"/>
              </w:rPr>
              <w:t>6</w:t>
            </w:r>
            <w:r>
              <w:rPr>
                <w:rFonts w:hint="eastAsia" w:asciiTheme="minorEastAsia" w:hAnsiTheme="minorEastAsia" w:eastAsiaTheme="minorEastAsia" w:cstheme="minorEastAsia"/>
                <w:sz w:val="24"/>
                <w:szCs w:val="24"/>
              </w:rPr>
              <w:t>年10月</w:t>
            </w:r>
          </w:p>
        </w:tc>
        <w:tc>
          <w:tcPr>
            <w:tcW w:w="5911" w:type="dxa"/>
            <w:vAlign w:val="center"/>
          </w:tcPr>
          <w:p>
            <w:pPr>
              <w:pageBreakBefore w:val="0"/>
              <w:kinsoku/>
              <w:wordWrap/>
              <w:overflowPunct/>
              <w:topLinePunct w:val="0"/>
              <w:autoSpaceDE/>
              <w:autoSpaceDN/>
              <w:bidi w:val="0"/>
              <w:adjustRightInd/>
              <w:snapToGrid/>
              <w:spacing w:line="240" w:lineRule="auto"/>
              <w:ind w:right="0" w:rightChars="0"/>
              <w:jc w:val="center"/>
              <w:textAlignment w:val="auto"/>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调研准备、编制</w:t>
            </w:r>
            <w:r>
              <w:rPr>
                <w:rFonts w:hint="eastAsia" w:asciiTheme="minorEastAsia" w:hAnsiTheme="minorEastAsia" w:eastAsiaTheme="minorEastAsia" w:cstheme="minorEastAsia"/>
                <w:b w:val="0"/>
                <w:bCs/>
                <w:sz w:val="24"/>
                <w:szCs w:val="24"/>
                <w:lang w:eastAsia="zh-CN"/>
              </w:rPr>
              <w:t>问卷</w:t>
            </w:r>
            <w:r>
              <w:rPr>
                <w:rFonts w:hint="eastAsia" w:asciiTheme="minorEastAsia" w:hAnsiTheme="minorEastAsia" w:eastAsiaTheme="minorEastAsia" w:cstheme="minorEastAsia"/>
                <w:b w:val="0"/>
                <w:bCs/>
                <w:sz w:val="24"/>
                <w:szCs w:val="24"/>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jc w:val="center"/>
        </w:trPr>
        <w:tc>
          <w:tcPr>
            <w:tcW w:w="2442" w:type="dxa"/>
            <w:vAlign w:val="center"/>
          </w:tcPr>
          <w:p>
            <w:pPr>
              <w:pageBreakBefore w:val="0"/>
              <w:kinsoku/>
              <w:wordWrap/>
              <w:overflowPunct/>
              <w:topLinePunct w:val="0"/>
              <w:autoSpaceDE/>
              <w:autoSpaceDN/>
              <w:bidi w:val="0"/>
              <w:adjustRightInd/>
              <w:snapToGrid/>
              <w:spacing w:line="240" w:lineRule="auto"/>
              <w:ind w:right="0" w:right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201</w:t>
            </w:r>
            <w:r>
              <w:rPr>
                <w:rFonts w:hint="eastAsia" w:asciiTheme="minorEastAsia" w:hAnsiTheme="minorEastAsia" w:eastAsiaTheme="minorEastAsia" w:cstheme="minorEastAsia"/>
                <w:sz w:val="24"/>
                <w:szCs w:val="24"/>
                <w:lang w:val="en-US" w:eastAsia="zh-CN"/>
              </w:rPr>
              <w:t>6</w:t>
            </w:r>
            <w:r>
              <w:rPr>
                <w:rFonts w:hint="eastAsia" w:asciiTheme="minorEastAsia" w:hAnsiTheme="minorEastAsia" w:eastAsiaTheme="minorEastAsia" w:cstheme="minorEastAsia"/>
                <w:sz w:val="24"/>
                <w:szCs w:val="24"/>
              </w:rPr>
              <w:t>年1</w:t>
            </w: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sz w:val="24"/>
                <w:szCs w:val="24"/>
                <w:lang w:eastAsia="zh-CN"/>
              </w:rPr>
              <w:t>至</w:t>
            </w: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月</w:t>
            </w:r>
          </w:p>
        </w:tc>
        <w:tc>
          <w:tcPr>
            <w:tcW w:w="5911" w:type="dxa"/>
            <w:vAlign w:val="center"/>
          </w:tcPr>
          <w:p>
            <w:pPr>
              <w:pageBreakBefore w:val="0"/>
              <w:kinsoku/>
              <w:wordWrap/>
              <w:overflowPunct/>
              <w:topLinePunct w:val="0"/>
              <w:autoSpaceDE/>
              <w:autoSpaceDN/>
              <w:bidi w:val="0"/>
              <w:adjustRightInd/>
              <w:snapToGrid/>
              <w:spacing w:line="240" w:lineRule="auto"/>
              <w:ind w:right="0" w:rightChars="0"/>
              <w:jc w:val="center"/>
              <w:textAlignment w:val="auto"/>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实施调研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 w:hRule="atLeast"/>
          <w:jc w:val="center"/>
        </w:trPr>
        <w:tc>
          <w:tcPr>
            <w:tcW w:w="2442" w:type="dxa"/>
            <w:vAlign w:val="center"/>
          </w:tcPr>
          <w:p>
            <w:pPr>
              <w:pageBreakBefore w:val="0"/>
              <w:kinsoku/>
              <w:wordWrap/>
              <w:overflowPunct/>
              <w:topLinePunct w:val="0"/>
              <w:autoSpaceDE/>
              <w:autoSpaceDN/>
              <w:bidi w:val="0"/>
              <w:adjustRightInd/>
              <w:snapToGrid/>
              <w:spacing w:line="240" w:lineRule="auto"/>
              <w:ind w:right="0" w:right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201</w:t>
            </w:r>
            <w:r>
              <w:rPr>
                <w:rFonts w:hint="eastAsia" w:asciiTheme="minorEastAsia" w:hAnsiTheme="minorEastAsia" w:eastAsiaTheme="minorEastAsia" w:cstheme="minorEastAsia"/>
                <w:sz w:val="24"/>
                <w:szCs w:val="24"/>
                <w:lang w:val="en-US" w:eastAsia="zh-CN"/>
              </w:rPr>
              <w:t>6</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sz w:val="24"/>
                <w:szCs w:val="24"/>
                <w:lang w:val="en-US" w:eastAsia="zh-CN"/>
              </w:rPr>
              <w:t>12</w:t>
            </w:r>
            <w:r>
              <w:rPr>
                <w:rFonts w:hint="eastAsia" w:asciiTheme="minorEastAsia" w:hAnsiTheme="minorEastAsia" w:eastAsiaTheme="minorEastAsia" w:cstheme="minorEastAsia"/>
                <w:sz w:val="24"/>
                <w:szCs w:val="24"/>
              </w:rPr>
              <w:t>月</w:t>
            </w:r>
          </w:p>
        </w:tc>
        <w:tc>
          <w:tcPr>
            <w:tcW w:w="5911" w:type="dxa"/>
            <w:vAlign w:val="center"/>
          </w:tcPr>
          <w:p>
            <w:pPr>
              <w:pageBreakBefore w:val="0"/>
              <w:kinsoku/>
              <w:wordWrap/>
              <w:overflowPunct/>
              <w:topLinePunct w:val="0"/>
              <w:autoSpaceDE/>
              <w:autoSpaceDN/>
              <w:bidi w:val="0"/>
              <w:adjustRightInd/>
              <w:snapToGrid/>
              <w:spacing w:line="240" w:lineRule="auto"/>
              <w:ind w:right="0" w:rightChars="0"/>
              <w:jc w:val="center"/>
              <w:textAlignment w:val="auto"/>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调研结果汇总分析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6" w:hRule="atLeast"/>
          <w:jc w:val="center"/>
        </w:trPr>
        <w:tc>
          <w:tcPr>
            <w:tcW w:w="2442" w:type="dxa"/>
            <w:vAlign w:val="center"/>
          </w:tcPr>
          <w:p>
            <w:pPr>
              <w:pageBreakBefore w:val="0"/>
              <w:kinsoku/>
              <w:wordWrap/>
              <w:overflowPunct/>
              <w:topLinePunct w:val="0"/>
              <w:autoSpaceDE/>
              <w:autoSpaceDN/>
              <w:bidi w:val="0"/>
              <w:adjustRightInd/>
              <w:snapToGrid/>
              <w:spacing w:line="240" w:lineRule="auto"/>
              <w:ind w:right="0" w:rightChars="0"/>
              <w:jc w:val="center"/>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阶段三</w:t>
            </w:r>
          </w:p>
        </w:tc>
        <w:tc>
          <w:tcPr>
            <w:tcW w:w="5911" w:type="dxa"/>
            <w:vAlign w:val="center"/>
          </w:tcPr>
          <w:p>
            <w:pPr>
              <w:pageBreakBefore w:val="0"/>
              <w:kinsoku/>
              <w:wordWrap/>
              <w:overflowPunct/>
              <w:topLinePunct w:val="0"/>
              <w:autoSpaceDE/>
              <w:autoSpaceDN/>
              <w:bidi w:val="0"/>
              <w:adjustRightInd/>
              <w:snapToGrid/>
              <w:spacing w:line="240" w:lineRule="auto"/>
              <w:ind w:right="0" w:rightChars="0"/>
              <w:jc w:val="center"/>
              <w:textAlignment w:val="auto"/>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研究报告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4" w:hRule="atLeast"/>
          <w:jc w:val="center"/>
        </w:trPr>
        <w:tc>
          <w:tcPr>
            <w:tcW w:w="2442" w:type="dxa"/>
            <w:vAlign w:val="center"/>
          </w:tcPr>
          <w:p>
            <w:pPr>
              <w:pageBreakBefore w:val="0"/>
              <w:kinsoku/>
              <w:wordWrap/>
              <w:overflowPunct/>
              <w:topLinePunct w:val="0"/>
              <w:autoSpaceDE/>
              <w:autoSpaceDN/>
              <w:bidi w:val="0"/>
              <w:adjustRightInd/>
              <w:snapToGrid/>
              <w:spacing w:line="240" w:lineRule="auto"/>
              <w:ind w:right="0" w:right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201</w:t>
            </w:r>
            <w:r>
              <w:rPr>
                <w:rFonts w:hint="eastAsia" w:asciiTheme="minorEastAsia" w:hAnsiTheme="minorEastAsia" w:eastAsiaTheme="minorEastAsia" w:cstheme="minorEastAsia"/>
                <w:sz w:val="24"/>
                <w:szCs w:val="24"/>
                <w:lang w:val="en-US" w:eastAsia="zh-CN"/>
              </w:rPr>
              <w:t>6</w:t>
            </w:r>
            <w:r>
              <w:rPr>
                <w:rFonts w:hint="eastAsia" w:asciiTheme="minorEastAsia" w:hAnsiTheme="minorEastAsia" w:eastAsiaTheme="minorEastAsia" w:cstheme="minorEastAsia"/>
                <w:sz w:val="24"/>
                <w:szCs w:val="24"/>
              </w:rPr>
              <w:t>年12月</w:t>
            </w:r>
          </w:p>
        </w:tc>
        <w:tc>
          <w:tcPr>
            <w:tcW w:w="5911" w:type="dxa"/>
            <w:vAlign w:val="center"/>
          </w:tcPr>
          <w:p>
            <w:pPr>
              <w:pageBreakBefore w:val="0"/>
              <w:kinsoku/>
              <w:wordWrap/>
              <w:overflowPunct/>
              <w:topLinePunct w:val="0"/>
              <w:autoSpaceDE/>
              <w:autoSpaceDN/>
              <w:bidi w:val="0"/>
              <w:adjustRightInd/>
              <w:snapToGrid/>
              <w:spacing w:line="240" w:lineRule="auto"/>
              <w:ind w:right="0" w:right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撰写结题报告，准备结题</w:t>
            </w:r>
          </w:p>
        </w:tc>
      </w:tr>
    </w:tbl>
    <w:p>
      <w:pPr>
        <w:pageBreakBefore w:val="0"/>
        <w:widowControl/>
        <w:kinsoku/>
        <w:wordWrap/>
        <w:overflowPunct/>
        <w:topLinePunct w:val="0"/>
        <w:autoSpaceDE/>
        <w:autoSpaceDN/>
        <w:bidi w:val="0"/>
        <w:adjustRightInd/>
        <w:snapToGrid/>
        <w:spacing w:line="240" w:lineRule="auto"/>
        <w:ind w:left="75" w:right="0" w:rightChars="0" w:firstLine="420" w:firstLineChars="200"/>
        <w:textAlignment w:val="auto"/>
        <w:rPr>
          <w:rFonts w:hint="eastAsia" w:asciiTheme="minorEastAsia" w:hAnsiTheme="minorEastAsia" w:eastAsiaTheme="minorEastAsia" w:cstheme="minorEastAsia"/>
          <w:b/>
          <w:bCs/>
          <w:kern w:val="0"/>
          <w:sz w:val="24"/>
          <w:szCs w:val="24"/>
        </w:rPr>
      </w:pPr>
      <w:bookmarkStart w:id="9" w:name="_Toc411199105"/>
      <w:r>
        <w:rPr>
          <w:rFonts w:hint="eastAsia" w:asciiTheme="minorEastAsia" w:hAnsiTheme="minorEastAsia" w:eastAsiaTheme="minorEastAsia" w:cstheme="minorEastAsia"/>
          <w:b/>
          <w:bCs/>
          <w:kern w:val="0"/>
          <w:sz w:val="24"/>
          <w:szCs w:val="24"/>
        </w:rPr>
        <w:t>（</w:t>
      </w:r>
      <w:r>
        <w:rPr>
          <w:rFonts w:hint="eastAsia" w:asciiTheme="minorEastAsia" w:hAnsiTheme="minorEastAsia" w:eastAsiaTheme="minorEastAsia" w:cstheme="minorEastAsia"/>
          <w:b/>
          <w:bCs/>
          <w:kern w:val="0"/>
          <w:sz w:val="24"/>
          <w:szCs w:val="24"/>
          <w:lang w:val="en-US" w:eastAsia="zh-CN"/>
        </w:rPr>
        <w:t>2</w:t>
      </w:r>
      <w:r>
        <w:rPr>
          <w:rFonts w:hint="eastAsia" w:asciiTheme="minorEastAsia" w:hAnsiTheme="minorEastAsia" w:eastAsiaTheme="minorEastAsia" w:cstheme="minorEastAsia"/>
          <w:b/>
          <w:bCs/>
          <w:kern w:val="0"/>
          <w:sz w:val="24"/>
          <w:szCs w:val="24"/>
        </w:rPr>
        <w:t>）</w:t>
      </w:r>
      <w:r>
        <w:rPr>
          <w:rFonts w:hint="eastAsia" w:asciiTheme="minorEastAsia" w:hAnsiTheme="minorEastAsia" w:eastAsiaTheme="minorEastAsia" w:cstheme="minorEastAsia"/>
          <w:b/>
          <w:bCs/>
          <w:kern w:val="0"/>
          <w:sz w:val="24"/>
          <w:szCs w:val="24"/>
          <w:lang w:eastAsia="zh-CN"/>
        </w:rPr>
        <w:t>研究方法</w:t>
      </w:r>
    </w:p>
    <w:p>
      <w:pPr>
        <w:pageBreakBefore w:val="0"/>
        <w:widowControl/>
        <w:kinsoku/>
        <w:wordWrap/>
        <w:overflowPunct/>
        <w:topLinePunct w:val="0"/>
        <w:autoSpaceDE/>
        <w:autoSpaceDN/>
        <w:bidi w:val="0"/>
        <w:adjustRightInd/>
        <w:snapToGrid/>
        <w:spacing w:line="240" w:lineRule="auto"/>
        <w:ind w:left="75" w:right="0" w:rightChars="0" w:firstLine="42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fldChar w:fldCharType="begin"/>
      </w:r>
      <w:r>
        <w:rPr>
          <w:rFonts w:hint="eastAsia" w:asciiTheme="minorEastAsia" w:hAnsiTheme="minorEastAsia" w:eastAsiaTheme="minorEastAsia" w:cstheme="minorEastAsia"/>
          <w:kern w:val="0"/>
          <w:sz w:val="24"/>
          <w:szCs w:val="24"/>
        </w:rPr>
        <w:instrText xml:space="preserve"> = 1 \* GB3 \* MERGEFORMAT </w:instrText>
      </w:r>
      <w:r>
        <w:rPr>
          <w:rFonts w:hint="eastAsia" w:asciiTheme="minorEastAsia" w:hAnsiTheme="minorEastAsia" w:eastAsiaTheme="minorEastAsia" w:cstheme="minorEastAsia"/>
          <w:kern w:val="0"/>
          <w:sz w:val="24"/>
          <w:szCs w:val="24"/>
        </w:rPr>
        <w:fldChar w:fldCharType="separate"/>
      </w:r>
      <w:r>
        <w:rPr>
          <w:rFonts w:hint="eastAsia" w:asciiTheme="minorEastAsia" w:hAnsiTheme="minorEastAsia" w:eastAsiaTheme="minorEastAsia" w:cstheme="minorEastAsia"/>
          <w:sz w:val="24"/>
          <w:szCs w:val="24"/>
        </w:rPr>
        <w:t>①</w:t>
      </w:r>
      <w:r>
        <w:rPr>
          <w:rFonts w:hint="eastAsia" w:asciiTheme="minorEastAsia" w:hAnsiTheme="minorEastAsia" w:eastAsiaTheme="minorEastAsia" w:cstheme="minorEastAsia"/>
          <w:kern w:val="0"/>
          <w:sz w:val="24"/>
          <w:szCs w:val="24"/>
        </w:rPr>
        <w:fldChar w:fldCharType="end"/>
      </w:r>
      <w:r>
        <w:rPr>
          <w:rFonts w:hint="eastAsia" w:asciiTheme="minorEastAsia" w:hAnsiTheme="minorEastAsia" w:eastAsiaTheme="minorEastAsia" w:cstheme="minorEastAsia"/>
          <w:kern w:val="0"/>
          <w:sz w:val="24"/>
          <w:szCs w:val="24"/>
        </w:rPr>
        <w:t>以文献研究法为基础，广泛收集国内外相关研究文献，为本课题前期研究提供方向和理论启发。</w:t>
      </w:r>
    </w:p>
    <w:p>
      <w:pPr>
        <w:pageBreakBefore w:val="0"/>
        <w:widowControl/>
        <w:kinsoku/>
        <w:wordWrap/>
        <w:overflowPunct/>
        <w:topLinePunct w:val="0"/>
        <w:autoSpaceDE/>
        <w:autoSpaceDN/>
        <w:bidi w:val="0"/>
        <w:adjustRightInd/>
        <w:snapToGrid/>
        <w:spacing w:line="240" w:lineRule="auto"/>
        <w:ind w:left="75" w:right="0" w:rightChars="0" w:firstLine="42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fldChar w:fldCharType="begin"/>
      </w:r>
      <w:r>
        <w:rPr>
          <w:rFonts w:hint="eastAsia" w:asciiTheme="minorEastAsia" w:hAnsiTheme="minorEastAsia" w:eastAsiaTheme="minorEastAsia" w:cstheme="minorEastAsia"/>
          <w:kern w:val="0"/>
          <w:sz w:val="24"/>
          <w:szCs w:val="24"/>
        </w:rPr>
        <w:instrText xml:space="preserve"> = 2 \* GB3 \* MERGEFORMAT </w:instrText>
      </w:r>
      <w:r>
        <w:rPr>
          <w:rFonts w:hint="eastAsia" w:asciiTheme="minorEastAsia" w:hAnsiTheme="minorEastAsia" w:eastAsiaTheme="minorEastAsia" w:cstheme="minorEastAsia"/>
          <w:kern w:val="0"/>
          <w:sz w:val="24"/>
          <w:szCs w:val="24"/>
        </w:rPr>
        <w:fldChar w:fldCharType="separate"/>
      </w:r>
      <w:r>
        <w:rPr>
          <w:rFonts w:hint="eastAsia" w:asciiTheme="minorEastAsia" w:hAnsiTheme="minorEastAsia" w:eastAsiaTheme="minorEastAsia" w:cstheme="minorEastAsia"/>
          <w:sz w:val="24"/>
          <w:szCs w:val="24"/>
        </w:rPr>
        <w:t>②</w:t>
      </w:r>
      <w:r>
        <w:rPr>
          <w:rFonts w:hint="eastAsia" w:asciiTheme="minorEastAsia" w:hAnsiTheme="minorEastAsia" w:eastAsiaTheme="minorEastAsia" w:cstheme="minorEastAsia"/>
          <w:kern w:val="0"/>
          <w:sz w:val="24"/>
          <w:szCs w:val="24"/>
        </w:rPr>
        <w:fldChar w:fldCharType="end"/>
      </w:r>
      <w:r>
        <w:rPr>
          <w:rFonts w:hint="eastAsia" w:asciiTheme="minorEastAsia" w:hAnsiTheme="minorEastAsia" w:eastAsiaTheme="minorEastAsia" w:cstheme="minorEastAsia"/>
          <w:kern w:val="0"/>
          <w:sz w:val="24"/>
          <w:szCs w:val="24"/>
        </w:rPr>
        <w:t>以调查研究法为重点，进行全面的问卷和深度访谈调研，多角度搜集不同层次院校教职工状况和诉求。</w:t>
      </w:r>
    </w:p>
    <w:p>
      <w:pPr>
        <w:pageBreakBefore w:val="0"/>
        <w:widowControl/>
        <w:kinsoku/>
        <w:wordWrap/>
        <w:overflowPunct/>
        <w:topLinePunct w:val="0"/>
        <w:autoSpaceDE/>
        <w:autoSpaceDN/>
        <w:bidi w:val="0"/>
        <w:adjustRightInd/>
        <w:snapToGrid/>
        <w:spacing w:line="240" w:lineRule="auto"/>
        <w:ind w:left="75" w:right="0" w:rightChars="0" w:firstLine="42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fldChar w:fldCharType="begin"/>
      </w:r>
      <w:r>
        <w:rPr>
          <w:rFonts w:hint="eastAsia" w:asciiTheme="minorEastAsia" w:hAnsiTheme="minorEastAsia" w:eastAsiaTheme="minorEastAsia" w:cstheme="minorEastAsia"/>
          <w:kern w:val="0"/>
          <w:sz w:val="24"/>
          <w:szCs w:val="24"/>
        </w:rPr>
        <w:instrText xml:space="preserve"> = 3 \* GB3 \* MERGEFORMAT </w:instrText>
      </w:r>
      <w:r>
        <w:rPr>
          <w:rFonts w:hint="eastAsia" w:asciiTheme="minorEastAsia" w:hAnsiTheme="minorEastAsia" w:eastAsiaTheme="minorEastAsia" w:cstheme="minorEastAsia"/>
          <w:kern w:val="0"/>
          <w:sz w:val="24"/>
          <w:szCs w:val="24"/>
        </w:rPr>
        <w:fldChar w:fldCharType="separate"/>
      </w:r>
      <w:r>
        <w:rPr>
          <w:rFonts w:hint="eastAsia" w:asciiTheme="minorEastAsia" w:hAnsiTheme="minorEastAsia" w:eastAsiaTheme="minorEastAsia" w:cstheme="minorEastAsia"/>
          <w:sz w:val="24"/>
          <w:szCs w:val="24"/>
        </w:rPr>
        <w:t>③</w:t>
      </w:r>
      <w:r>
        <w:rPr>
          <w:rFonts w:hint="eastAsia" w:asciiTheme="minorEastAsia" w:hAnsiTheme="minorEastAsia" w:eastAsiaTheme="minorEastAsia" w:cstheme="minorEastAsia"/>
          <w:kern w:val="0"/>
          <w:sz w:val="24"/>
          <w:szCs w:val="24"/>
        </w:rPr>
        <w:fldChar w:fldCharType="end"/>
      </w:r>
      <w:r>
        <w:rPr>
          <w:rFonts w:hint="eastAsia" w:asciiTheme="minorEastAsia" w:hAnsiTheme="minorEastAsia" w:eastAsiaTheme="minorEastAsia" w:cstheme="minorEastAsia"/>
          <w:kern w:val="0"/>
          <w:sz w:val="24"/>
          <w:szCs w:val="24"/>
        </w:rPr>
        <w:t>以比较研究法为引领。搜集国外类似的研究内容，为本研究特别是诉求回应机制提供借鉴和参考。</w:t>
      </w:r>
    </w:p>
    <w:p>
      <w:pPr>
        <w:pStyle w:val="2"/>
        <w:pageBreakBefore w:val="0"/>
        <w:kinsoku/>
        <w:wordWrap/>
        <w:overflowPunct/>
        <w:topLinePunct w:val="0"/>
        <w:autoSpaceDE/>
        <w:autoSpaceDN/>
        <w:bidi w:val="0"/>
        <w:adjustRightInd/>
        <w:snapToGrid/>
        <w:spacing w:before="0" w:after="0" w:line="240" w:lineRule="auto"/>
        <w:ind w:right="0" w:rightChars="0" w:firstLine="482"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三、研究成果与</w:t>
      </w:r>
      <w:bookmarkEnd w:id="9"/>
      <w:r>
        <w:rPr>
          <w:rFonts w:hint="eastAsia" w:asciiTheme="minorEastAsia" w:hAnsiTheme="minorEastAsia" w:eastAsiaTheme="minorEastAsia" w:cstheme="minorEastAsia"/>
          <w:sz w:val="24"/>
          <w:szCs w:val="24"/>
          <w:lang w:eastAsia="zh-CN"/>
        </w:rPr>
        <w:t>主要观点</w:t>
      </w:r>
    </w:p>
    <w:p>
      <w:pPr>
        <w:pStyle w:val="3"/>
        <w:pageBreakBefore w:val="0"/>
        <w:kinsoku/>
        <w:wordWrap/>
        <w:overflowPunct/>
        <w:topLinePunct w:val="0"/>
        <w:autoSpaceDE/>
        <w:autoSpaceDN/>
        <w:bidi w:val="0"/>
        <w:adjustRightInd/>
        <w:snapToGrid/>
        <w:spacing w:before="0" w:after="0" w:line="240" w:lineRule="auto"/>
        <w:ind w:right="0" w:rightChars="0" w:firstLine="482" w:firstLineChars="200"/>
        <w:textAlignment w:val="auto"/>
        <w:rPr>
          <w:rFonts w:hint="eastAsia" w:asciiTheme="minorEastAsia" w:hAnsiTheme="minorEastAsia" w:eastAsiaTheme="minorEastAsia" w:cstheme="minorEastAsia"/>
          <w:kern w:val="0"/>
          <w:sz w:val="24"/>
          <w:szCs w:val="24"/>
        </w:rPr>
      </w:pPr>
      <w:bookmarkStart w:id="10" w:name="_Toc411199107"/>
      <w:r>
        <w:rPr>
          <w:rFonts w:hint="eastAsia" w:asciiTheme="minorEastAsia" w:hAnsiTheme="minorEastAsia" w:eastAsiaTheme="minorEastAsia" w:cstheme="minorEastAsia"/>
          <w:kern w:val="0"/>
          <w:sz w:val="24"/>
          <w:szCs w:val="24"/>
        </w:rPr>
        <w:t>（一）研究成果</w:t>
      </w:r>
    </w:p>
    <w:p>
      <w:pPr>
        <w:pageBreakBefore w:val="0"/>
        <w:kinsoku/>
        <w:wordWrap/>
        <w:overflowPunct/>
        <w:topLinePunct w:val="0"/>
        <w:autoSpaceDE/>
        <w:autoSpaceDN/>
        <w:bidi w:val="0"/>
        <w:adjustRightInd/>
        <w:snapToGrid/>
        <w:spacing w:line="240" w:lineRule="auto"/>
        <w:ind w:right="0" w:rightChars="0" w:firstLine="560" w:firstLineChars="200"/>
        <w:textAlignment w:val="auto"/>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lang w:val="en-US" w:eastAsia="zh-CN"/>
        </w:rPr>
        <w:t>1.</w:t>
      </w:r>
      <w:r>
        <w:rPr>
          <w:rFonts w:hint="eastAsia" w:asciiTheme="minorEastAsia" w:hAnsiTheme="minorEastAsia" w:eastAsiaTheme="minorEastAsia" w:cstheme="minorEastAsia"/>
          <w:b/>
          <w:bCs/>
          <w:kern w:val="0"/>
          <w:sz w:val="24"/>
          <w:szCs w:val="24"/>
        </w:rPr>
        <w:t>完成理论研究报告</w:t>
      </w:r>
    </w:p>
    <w:p>
      <w:pPr>
        <w:pageBreakBefore w:val="0"/>
        <w:kinsoku/>
        <w:wordWrap/>
        <w:overflowPunct/>
        <w:topLinePunct w:val="0"/>
        <w:autoSpaceDE/>
        <w:autoSpaceDN/>
        <w:bidi w:val="0"/>
        <w:adjustRightInd/>
        <w:snapToGrid/>
        <w:spacing w:line="240" w:lineRule="auto"/>
        <w:ind w:right="0" w:rightChars="0" w:firstLine="56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以石云教授提出的以理论研究驱动研究水平的提升和以方法驱动研究质量的提高为指导，课题组进行了理论研究，并撰写了理论研究报告（见附件1），主要内容有：</w:t>
      </w:r>
    </w:p>
    <w:p>
      <w:pPr>
        <w:pageBreakBefore w:val="0"/>
        <w:numPr>
          <w:ilvl w:val="0"/>
          <w:numId w:val="0"/>
        </w:numPr>
        <w:kinsoku/>
        <w:wordWrap/>
        <w:overflowPunct/>
        <w:topLinePunct w:val="0"/>
        <w:autoSpaceDE/>
        <w:autoSpaceDN/>
        <w:bidi w:val="0"/>
        <w:adjustRightInd/>
        <w:snapToGrid/>
        <w:spacing w:line="240" w:lineRule="auto"/>
        <w:ind w:left="560" w:leftChars="0" w:right="0" w:rightChars="0"/>
        <w:textAlignment w:val="auto"/>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lang w:eastAsia="zh-CN"/>
        </w:rPr>
        <w:t>（</w:t>
      </w:r>
      <w:r>
        <w:rPr>
          <w:rFonts w:hint="eastAsia" w:asciiTheme="minorEastAsia" w:hAnsiTheme="minorEastAsia" w:eastAsiaTheme="minorEastAsia" w:cstheme="minorEastAsia"/>
          <w:b/>
          <w:bCs/>
          <w:kern w:val="0"/>
          <w:sz w:val="24"/>
          <w:szCs w:val="24"/>
          <w:lang w:val="en-US" w:eastAsia="zh-CN"/>
        </w:rPr>
        <w:t>1</w:t>
      </w:r>
      <w:r>
        <w:rPr>
          <w:rFonts w:hint="eastAsia" w:asciiTheme="minorEastAsia" w:hAnsiTheme="minorEastAsia" w:eastAsiaTheme="minorEastAsia" w:cstheme="minorEastAsia"/>
          <w:b/>
          <w:bCs/>
          <w:kern w:val="0"/>
          <w:sz w:val="24"/>
          <w:szCs w:val="24"/>
          <w:lang w:eastAsia="zh-CN"/>
        </w:rPr>
        <w:t>）</w:t>
      </w:r>
      <w:r>
        <w:rPr>
          <w:rFonts w:hint="eastAsia" w:asciiTheme="minorEastAsia" w:hAnsiTheme="minorEastAsia" w:eastAsiaTheme="minorEastAsia" w:cstheme="minorEastAsia"/>
          <w:b/>
          <w:bCs/>
          <w:kern w:val="0"/>
          <w:sz w:val="24"/>
          <w:szCs w:val="24"/>
        </w:rPr>
        <w:t>文献综述研究——作为课题的研究起点</w:t>
      </w:r>
    </w:p>
    <w:p>
      <w:pPr>
        <w:pageBreakBefore w:val="0"/>
        <w:kinsoku/>
        <w:wordWrap/>
        <w:overflowPunct/>
        <w:topLinePunct w:val="0"/>
        <w:autoSpaceDE/>
        <w:autoSpaceDN/>
        <w:bidi w:val="0"/>
        <w:adjustRightInd/>
        <w:snapToGrid/>
        <w:spacing w:line="240" w:lineRule="auto"/>
        <w:ind w:right="0" w:rightChars="0" w:firstLine="56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从教职工的工作状况、生活状况、思想状况以及利益诉求等四个大的方面进行文献综述，得出的观点有：</w:t>
      </w:r>
      <w:r>
        <w:rPr>
          <w:rFonts w:hint="eastAsia" w:asciiTheme="minorEastAsia" w:hAnsiTheme="minorEastAsia" w:eastAsiaTheme="minorEastAsia" w:cstheme="minorEastAsia"/>
          <w:kern w:val="0"/>
          <w:sz w:val="24"/>
          <w:szCs w:val="24"/>
        </w:rPr>
        <w:fldChar w:fldCharType="begin"/>
      </w:r>
      <w:r>
        <w:rPr>
          <w:rFonts w:hint="eastAsia" w:asciiTheme="minorEastAsia" w:hAnsiTheme="minorEastAsia" w:eastAsiaTheme="minorEastAsia" w:cstheme="minorEastAsia"/>
          <w:kern w:val="0"/>
          <w:sz w:val="24"/>
          <w:szCs w:val="24"/>
        </w:rPr>
        <w:instrText xml:space="preserve"> = 1 \* GB3 \* MERGEFORMAT </w:instrText>
      </w:r>
      <w:r>
        <w:rPr>
          <w:rFonts w:hint="eastAsia" w:asciiTheme="minorEastAsia" w:hAnsiTheme="minorEastAsia" w:eastAsiaTheme="minorEastAsia" w:cstheme="minorEastAsia"/>
          <w:kern w:val="0"/>
          <w:sz w:val="24"/>
          <w:szCs w:val="24"/>
        </w:rPr>
        <w:fldChar w:fldCharType="separate"/>
      </w:r>
      <w:r>
        <w:rPr>
          <w:rFonts w:hint="eastAsia" w:asciiTheme="minorEastAsia" w:hAnsiTheme="minorEastAsia" w:eastAsiaTheme="minorEastAsia" w:cstheme="minorEastAsia"/>
          <w:sz w:val="24"/>
          <w:szCs w:val="24"/>
        </w:rPr>
        <w:t>①</w:t>
      </w:r>
      <w:r>
        <w:rPr>
          <w:rFonts w:hint="eastAsia" w:asciiTheme="minorEastAsia" w:hAnsiTheme="minorEastAsia" w:eastAsiaTheme="minorEastAsia" w:cstheme="minorEastAsia"/>
          <w:kern w:val="0"/>
          <w:sz w:val="24"/>
          <w:szCs w:val="24"/>
        </w:rPr>
        <w:fldChar w:fldCharType="end"/>
      </w:r>
      <w:r>
        <w:rPr>
          <w:rFonts w:hint="eastAsia" w:asciiTheme="minorEastAsia" w:hAnsiTheme="minorEastAsia" w:eastAsiaTheme="minorEastAsia" w:cstheme="minorEastAsia"/>
          <w:kern w:val="0"/>
          <w:sz w:val="24"/>
          <w:szCs w:val="24"/>
        </w:rPr>
        <w:t>研究对象多为女性。多数研究教职工状况的论文都是倾向于女教职工研究，认为女教职工作为弱势群体应加大关注力度。</w:t>
      </w:r>
      <w:r>
        <w:rPr>
          <w:rFonts w:hint="eastAsia" w:asciiTheme="minorEastAsia" w:hAnsiTheme="minorEastAsia" w:eastAsiaTheme="minorEastAsia" w:cstheme="minorEastAsia"/>
          <w:kern w:val="0"/>
          <w:sz w:val="24"/>
          <w:szCs w:val="24"/>
        </w:rPr>
        <w:fldChar w:fldCharType="begin"/>
      </w:r>
      <w:r>
        <w:rPr>
          <w:rFonts w:hint="eastAsia" w:asciiTheme="minorEastAsia" w:hAnsiTheme="minorEastAsia" w:eastAsiaTheme="minorEastAsia" w:cstheme="minorEastAsia"/>
          <w:kern w:val="0"/>
          <w:sz w:val="24"/>
          <w:szCs w:val="24"/>
        </w:rPr>
        <w:instrText xml:space="preserve"> = 2 \* GB3 \* MERGEFORMAT </w:instrText>
      </w:r>
      <w:r>
        <w:rPr>
          <w:rFonts w:hint="eastAsia" w:asciiTheme="minorEastAsia" w:hAnsiTheme="minorEastAsia" w:eastAsiaTheme="minorEastAsia" w:cstheme="minorEastAsia"/>
          <w:kern w:val="0"/>
          <w:sz w:val="24"/>
          <w:szCs w:val="24"/>
        </w:rPr>
        <w:fldChar w:fldCharType="separate"/>
      </w:r>
      <w:r>
        <w:rPr>
          <w:rFonts w:hint="eastAsia" w:asciiTheme="minorEastAsia" w:hAnsiTheme="minorEastAsia" w:eastAsiaTheme="minorEastAsia" w:cstheme="minorEastAsia"/>
          <w:sz w:val="24"/>
          <w:szCs w:val="24"/>
        </w:rPr>
        <w:t>②</w:t>
      </w:r>
      <w:r>
        <w:rPr>
          <w:rFonts w:hint="eastAsia" w:asciiTheme="minorEastAsia" w:hAnsiTheme="minorEastAsia" w:eastAsiaTheme="minorEastAsia" w:cstheme="minorEastAsia"/>
          <w:kern w:val="0"/>
          <w:sz w:val="24"/>
          <w:szCs w:val="24"/>
        </w:rPr>
        <w:fldChar w:fldCharType="end"/>
      </w:r>
      <w:r>
        <w:rPr>
          <w:rFonts w:hint="eastAsia" w:asciiTheme="minorEastAsia" w:hAnsiTheme="minorEastAsia" w:eastAsiaTheme="minorEastAsia" w:cstheme="minorEastAsia"/>
          <w:kern w:val="0"/>
          <w:sz w:val="24"/>
          <w:szCs w:val="24"/>
        </w:rPr>
        <w:t>研究内容多局限于身体健康等状况的研究，对教职工生活状况，思想状况的研究较为浅显，且针对思想状况的研究基本局限于政治态度，较少涉及价值观、成才观等。</w:t>
      </w:r>
      <w:r>
        <w:rPr>
          <w:rFonts w:hint="eastAsia" w:asciiTheme="minorEastAsia" w:hAnsiTheme="minorEastAsia" w:eastAsiaTheme="minorEastAsia" w:cstheme="minorEastAsia"/>
          <w:kern w:val="0"/>
          <w:sz w:val="24"/>
          <w:szCs w:val="24"/>
        </w:rPr>
        <w:fldChar w:fldCharType="begin"/>
      </w:r>
      <w:r>
        <w:rPr>
          <w:rFonts w:hint="eastAsia" w:asciiTheme="minorEastAsia" w:hAnsiTheme="minorEastAsia" w:eastAsiaTheme="minorEastAsia" w:cstheme="minorEastAsia"/>
          <w:kern w:val="0"/>
          <w:sz w:val="24"/>
          <w:szCs w:val="24"/>
        </w:rPr>
        <w:instrText xml:space="preserve"> = 3 \* GB3 \* MERGEFORMAT </w:instrText>
      </w:r>
      <w:r>
        <w:rPr>
          <w:rFonts w:hint="eastAsia" w:asciiTheme="minorEastAsia" w:hAnsiTheme="minorEastAsia" w:eastAsiaTheme="minorEastAsia" w:cstheme="minorEastAsia"/>
          <w:kern w:val="0"/>
          <w:sz w:val="24"/>
          <w:szCs w:val="24"/>
        </w:rPr>
        <w:fldChar w:fldCharType="separate"/>
      </w:r>
      <w:r>
        <w:rPr>
          <w:rFonts w:hint="eastAsia" w:asciiTheme="minorEastAsia" w:hAnsiTheme="minorEastAsia" w:eastAsiaTheme="minorEastAsia" w:cstheme="minorEastAsia"/>
          <w:sz w:val="24"/>
          <w:szCs w:val="24"/>
        </w:rPr>
        <w:t>③</w:t>
      </w:r>
      <w:r>
        <w:rPr>
          <w:rFonts w:hint="eastAsia" w:asciiTheme="minorEastAsia" w:hAnsiTheme="minorEastAsia" w:eastAsiaTheme="minorEastAsia" w:cstheme="minorEastAsia"/>
          <w:kern w:val="0"/>
          <w:sz w:val="24"/>
          <w:szCs w:val="24"/>
        </w:rPr>
        <w:fldChar w:fldCharType="end"/>
      </w:r>
      <w:r>
        <w:rPr>
          <w:rFonts w:hint="eastAsia" w:asciiTheme="minorEastAsia" w:hAnsiTheme="minorEastAsia" w:eastAsiaTheme="minorEastAsia" w:cstheme="minorEastAsia"/>
          <w:kern w:val="0"/>
          <w:sz w:val="24"/>
          <w:szCs w:val="24"/>
        </w:rPr>
        <w:t>教职工类别和层次多局限于高校教职工。从期刊网上搜索的关于教职工研究绝大多数是高校教职工，而对于职业院校教职工的研究还未见有相关成果发表。</w:t>
      </w:r>
      <w:r>
        <w:rPr>
          <w:rFonts w:hint="eastAsia" w:asciiTheme="minorEastAsia" w:hAnsiTheme="minorEastAsia" w:eastAsiaTheme="minorEastAsia" w:cstheme="minorEastAsia"/>
          <w:kern w:val="0"/>
          <w:sz w:val="24"/>
          <w:szCs w:val="24"/>
        </w:rPr>
        <w:fldChar w:fldCharType="begin"/>
      </w:r>
      <w:r>
        <w:rPr>
          <w:rFonts w:hint="eastAsia" w:asciiTheme="minorEastAsia" w:hAnsiTheme="minorEastAsia" w:eastAsiaTheme="minorEastAsia" w:cstheme="minorEastAsia"/>
          <w:kern w:val="0"/>
          <w:sz w:val="24"/>
          <w:szCs w:val="24"/>
        </w:rPr>
        <w:instrText xml:space="preserve"> = 4 \* GB3 \* MERGEFORMAT </w:instrText>
      </w:r>
      <w:r>
        <w:rPr>
          <w:rFonts w:hint="eastAsia" w:asciiTheme="minorEastAsia" w:hAnsiTheme="minorEastAsia" w:eastAsiaTheme="minorEastAsia" w:cstheme="minorEastAsia"/>
          <w:kern w:val="0"/>
          <w:sz w:val="24"/>
          <w:szCs w:val="24"/>
        </w:rPr>
        <w:fldChar w:fldCharType="separate"/>
      </w:r>
      <w:r>
        <w:rPr>
          <w:rFonts w:hint="eastAsia" w:asciiTheme="minorEastAsia" w:hAnsiTheme="minorEastAsia" w:eastAsiaTheme="minorEastAsia" w:cstheme="minorEastAsia"/>
          <w:sz w:val="24"/>
          <w:szCs w:val="24"/>
        </w:rPr>
        <w:t>④</w:t>
      </w:r>
      <w:r>
        <w:rPr>
          <w:rFonts w:hint="eastAsia" w:asciiTheme="minorEastAsia" w:hAnsiTheme="minorEastAsia" w:eastAsiaTheme="minorEastAsia" w:cstheme="minorEastAsia"/>
          <w:kern w:val="0"/>
          <w:sz w:val="24"/>
          <w:szCs w:val="24"/>
        </w:rPr>
        <w:fldChar w:fldCharType="end"/>
      </w:r>
      <w:r>
        <w:rPr>
          <w:rFonts w:hint="eastAsia" w:asciiTheme="minorEastAsia" w:hAnsiTheme="minorEastAsia" w:eastAsiaTheme="minorEastAsia" w:cstheme="minorEastAsia"/>
          <w:kern w:val="0"/>
          <w:sz w:val="24"/>
          <w:szCs w:val="24"/>
        </w:rPr>
        <w:t>研究结果服务的群体多局限于学校层面和教职工层面。而对于关涉教职工长远发展的教育行政部门和其他相关部门的建议很少出现。</w:t>
      </w:r>
      <w:r>
        <w:rPr>
          <w:rFonts w:hint="eastAsia" w:asciiTheme="minorEastAsia" w:hAnsiTheme="minorEastAsia" w:eastAsiaTheme="minorEastAsia" w:cstheme="minorEastAsia"/>
          <w:kern w:val="0"/>
          <w:sz w:val="24"/>
          <w:szCs w:val="24"/>
        </w:rPr>
        <w:fldChar w:fldCharType="begin"/>
      </w:r>
      <w:r>
        <w:rPr>
          <w:rFonts w:hint="eastAsia" w:asciiTheme="minorEastAsia" w:hAnsiTheme="minorEastAsia" w:eastAsiaTheme="minorEastAsia" w:cstheme="minorEastAsia"/>
          <w:kern w:val="0"/>
          <w:sz w:val="24"/>
          <w:szCs w:val="24"/>
        </w:rPr>
        <w:instrText xml:space="preserve"> = 5 \* GB3 \* MERGEFORMAT </w:instrText>
      </w:r>
      <w:r>
        <w:rPr>
          <w:rFonts w:hint="eastAsia" w:asciiTheme="minorEastAsia" w:hAnsiTheme="minorEastAsia" w:eastAsiaTheme="minorEastAsia" w:cstheme="minorEastAsia"/>
          <w:kern w:val="0"/>
          <w:sz w:val="24"/>
          <w:szCs w:val="24"/>
        </w:rPr>
        <w:fldChar w:fldCharType="separate"/>
      </w:r>
      <w:r>
        <w:rPr>
          <w:rFonts w:hint="eastAsia" w:asciiTheme="minorEastAsia" w:hAnsiTheme="minorEastAsia" w:eastAsiaTheme="minorEastAsia" w:cstheme="minorEastAsia"/>
          <w:sz w:val="24"/>
          <w:szCs w:val="24"/>
        </w:rPr>
        <w:t>⑤</w:t>
      </w:r>
      <w:r>
        <w:rPr>
          <w:rFonts w:hint="eastAsia" w:asciiTheme="minorEastAsia" w:hAnsiTheme="minorEastAsia" w:eastAsiaTheme="minorEastAsia" w:cstheme="minorEastAsia"/>
          <w:kern w:val="0"/>
          <w:sz w:val="24"/>
          <w:szCs w:val="24"/>
        </w:rPr>
        <w:fldChar w:fldCharType="end"/>
      </w:r>
      <w:r>
        <w:rPr>
          <w:rFonts w:hint="eastAsia" w:asciiTheme="minorEastAsia" w:hAnsiTheme="minorEastAsia" w:eastAsiaTheme="minorEastAsia" w:cstheme="minorEastAsia"/>
          <w:kern w:val="0"/>
          <w:sz w:val="24"/>
          <w:szCs w:val="24"/>
        </w:rPr>
        <w:t>现有文献基本上是单独研究教职工状况的某一方面，涉及的范围较窄，难以对其整体状况进行总体把握。</w:t>
      </w:r>
      <w:r>
        <w:rPr>
          <w:rFonts w:hint="eastAsia" w:asciiTheme="minorEastAsia" w:hAnsiTheme="minorEastAsia" w:eastAsiaTheme="minorEastAsia" w:cstheme="minorEastAsia"/>
          <w:kern w:val="0"/>
          <w:sz w:val="24"/>
          <w:szCs w:val="24"/>
        </w:rPr>
        <w:fldChar w:fldCharType="begin"/>
      </w:r>
      <w:r>
        <w:rPr>
          <w:rFonts w:hint="eastAsia" w:asciiTheme="minorEastAsia" w:hAnsiTheme="minorEastAsia" w:eastAsiaTheme="minorEastAsia" w:cstheme="minorEastAsia"/>
          <w:kern w:val="0"/>
          <w:sz w:val="24"/>
          <w:szCs w:val="24"/>
        </w:rPr>
        <w:instrText xml:space="preserve"> = 6 \* GB3 \* MERGEFORMAT </w:instrText>
      </w:r>
      <w:r>
        <w:rPr>
          <w:rFonts w:hint="eastAsia" w:asciiTheme="minorEastAsia" w:hAnsiTheme="minorEastAsia" w:eastAsiaTheme="minorEastAsia" w:cstheme="minorEastAsia"/>
          <w:kern w:val="0"/>
          <w:sz w:val="24"/>
          <w:szCs w:val="24"/>
        </w:rPr>
        <w:fldChar w:fldCharType="separate"/>
      </w:r>
      <w:r>
        <w:rPr>
          <w:rFonts w:hint="eastAsia" w:asciiTheme="minorEastAsia" w:hAnsiTheme="minorEastAsia" w:eastAsiaTheme="minorEastAsia" w:cstheme="minorEastAsia"/>
          <w:sz w:val="24"/>
          <w:szCs w:val="24"/>
        </w:rPr>
        <w:t>⑥</w:t>
      </w:r>
      <w:r>
        <w:rPr>
          <w:rFonts w:hint="eastAsia" w:asciiTheme="minorEastAsia" w:hAnsiTheme="minorEastAsia" w:eastAsiaTheme="minorEastAsia" w:cstheme="minorEastAsia"/>
          <w:kern w:val="0"/>
          <w:sz w:val="24"/>
          <w:szCs w:val="24"/>
        </w:rPr>
        <w:fldChar w:fldCharType="end"/>
      </w:r>
      <w:r>
        <w:rPr>
          <w:rFonts w:hint="eastAsia" w:asciiTheme="minorEastAsia" w:hAnsiTheme="minorEastAsia" w:eastAsiaTheme="minorEastAsia" w:cstheme="minorEastAsia"/>
          <w:kern w:val="0"/>
          <w:sz w:val="24"/>
          <w:szCs w:val="24"/>
        </w:rPr>
        <w:t>现有关于教职工状况的研究多局限于阐述事实，理论深度不够，难以在研究的基础上提出建设性的建议。</w:t>
      </w:r>
    </w:p>
    <w:p>
      <w:pPr>
        <w:pageBreakBefore w:val="0"/>
        <w:numPr>
          <w:ilvl w:val="0"/>
          <w:numId w:val="0"/>
        </w:numPr>
        <w:kinsoku/>
        <w:wordWrap/>
        <w:overflowPunct/>
        <w:topLinePunct w:val="0"/>
        <w:autoSpaceDE/>
        <w:autoSpaceDN/>
        <w:bidi w:val="0"/>
        <w:adjustRightInd/>
        <w:snapToGrid/>
        <w:spacing w:line="240" w:lineRule="auto"/>
        <w:ind w:left="560" w:leftChars="0" w:right="0" w:rightChars="0"/>
        <w:textAlignment w:val="auto"/>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lang w:eastAsia="zh-CN"/>
        </w:rPr>
        <w:t>（</w:t>
      </w:r>
      <w:r>
        <w:rPr>
          <w:rFonts w:hint="eastAsia" w:asciiTheme="minorEastAsia" w:hAnsiTheme="minorEastAsia" w:eastAsiaTheme="minorEastAsia" w:cstheme="minorEastAsia"/>
          <w:b/>
          <w:bCs/>
          <w:kern w:val="0"/>
          <w:sz w:val="24"/>
          <w:szCs w:val="24"/>
          <w:lang w:val="en-US" w:eastAsia="zh-CN"/>
        </w:rPr>
        <w:t>2</w:t>
      </w:r>
      <w:r>
        <w:rPr>
          <w:rFonts w:hint="eastAsia" w:asciiTheme="minorEastAsia" w:hAnsiTheme="minorEastAsia" w:eastAsiaTheme="minorEastAsia" w:cstheme="minorEastAsia"/>
          <w:b/>
          <w:bCs/>
          <w:kern w:val="0"/>
          <w:sz w:val="24"/>
          <w:szCs w:val="24"/>
          <w:lang w:eastAsia="zh-CN"/>
        </w:rPr>
        <w:t>）</w:t>
      </w:r>
      <w:r>
        <w:rPr>
          <w:rFonts w:hint="eastAsia" w:asciiTheme="minorEastAsia" w:hAnsiTheme="minorEastAsia" w:eastAsiaTheme="minorEastAsia" w:cstheme="minorEastAsia"/>
          <w:b/>
          <w:bCs/>
          <w:kern w:val="0"/>
          <w:sz w:val="24"/>
          <w:szCs w:val="24"/>
        </w:rPr>
        <w:t>需求层次理论——形成调查研究的分析框架</w:t>
      </w:r>
    </w:p>
    <w:p>
      <w:pPr>
        <w:pageBreakBefore w:val="0"/>
        <w:kinsoku/>
        <w:wordWrap/>
        <w:overflowPunct/>
        <w:topLinePunct w:val="0"/>
        <w:autoSpaceDE/>
        <w:autoSpaceDN/>
        <w:bidi w:val="0"/>
        <w:adjustRightInd/>
        <w:snapToGrid/>
        <w:spacing w:line="240" w:lineRule="auto"/>
        <w:ind w:right="0" w:rightChars="0" w:firstLine="56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该理论讲人类的需求像阶梯一样分为5种：生理需求、安全需求、</w:t>
      </w:r>
      <w:r>
        <w:rPr>
          <w:rFonts w:hint="eastAsia" w:asciiTheme="minorEastAsia" w:hAnsiTheme="minorEastAsia" w:eastAsiaTheme="minorEastAsia" w:cstheme="minorEastAsia"/>
          <w:kern w:val="0"/>
          <w:sz w:val="24"/>
          <w:szCs w:val="24"/>
          <w:lang w:eastAsia="zh-CN"/>
        </w:rPr>
        <w:t>情感</w:t>
      </w:r>
      <w:r>
        <w:rPr>
          <w:rFonts w:hint="eastAsia" w:asciiTheme="minorEastAsia" w:hAnsiTheme="minorEastAsia" w:eastAsiaTheme="minorEastAsia" w:cstheme="minorEastAsia"/>
          <w:kern w:val="0"/>
          <w:sz w:val="24"/>
          <w:szCs w:val="24"/>
        </w:rPr>
        <w:t>需求、尊重需求和自我实现需求。五种需求是从低到高，按层级逐渐递升，低层次的需求满足了，才会向更高层次的需求发展，但这样的次序不是完全固定的，在某些特殊情况下是可以改变的。同一时期，一个人可能有几种需求，但每一时期总有一种需求占支配地位，对行为起决定作用。任何一种需要都不会因为更高层次需求的发展而消失。各层次的需求相互依赖和重叠，高层次的需求发展后，低层次的需求仍然存在，只是对行为影响的程度大大减小。</w:t>
      </w:r>
    </w:p>
    <w:p>
      <w:pPr>
        <w:pageBreakBefore w:val="0"/>
        <w:kinsoku/>
        <w:wordWrap/>
        <w:overflowPunct/>
        <w:topLinePunct w:val="0"/>
        <w:autoSpaceDE/>
        <w:autoSpaceDN/>
        <w:bidi w:val="0"/>
        <w:adjustRightInd/>
        <w:snapToGrid/>
        <w:spacing w:line="240" w:lineRule="auto"/>
        <w:ind w:right="0" w:rightChars="0" w:firstLine="56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因此，在研究教职工的状况时应充分考虑不同的个体在不同时期占主要地位的需求，并通过各种情况去满足不同层次的需求，只有这样才能更好的提高教职工的工作质量和效率。本研究旨在以需求理论为基础编制上海市职业院校教职工状况及其诉求的调查问卷。</w:t>
      </w:r>
    </w:p>
    <w:p>
      <w:pPr>
        <w:pageBreakBefore w:val="0"/>
        <w:kinsoku/>
        <w:wordWrap/>
        <w:overflowPunct/>
        <w:topLinePunct w:val="0"/>
        <w:autoSpaceDE/>
        <w:autoSpaceDN/>
        <w:bidi w:val="0"/>
        <w:adjustRightInd/>
        <w:snapToGrid/>
        <w:spacing w:line="240" w:lineRule="auto"/>
        <w:ind w:right="0" w:rightChars="0" w:firstLine="56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具体包含以下几个大的方面：在生理需求方面，重点关注教职工的身体健康等；在安全需求方面，重点关注教职工的工作职位保障、工作压力、职业倦怠、生涯发展等；在</w:t>
      </w:r>
      <w:r>
        <w:rPr>
          <w:rFonts w:hint="eastAsia" w:asciiTheme="minorEastAsia" w:hAnsiTheme="minorEastAsia" w:eastAsiaTheme="minorEastAsia" w:cstheme="minorEastAsia"/>
          <w:kern w:val="0"/>
          <w:sz w:val="24"/>
          <w:szCs w:val="24"/>
          <w:lang w:eastAsia="zh-CN"/>
        </w:rPr>
        <w:t>情感</w:t>
      </w:r>
      <w:r>
        <w:rPr>
          <w:rFonts w:hint="eastAsia" w:asciiTheme="minorEastAsia" w:hAnsiTheme="minorEastAsia" w:eastAsiaTheme="minorEastAsia" w:cstheme="minorEastAsia"/>
          <w:kern w:val="0"/>
          <w:sz w:val="24"/>
          <w:szCs w:val="24"/>
        </w:rPr>
        <w:t>需求方面，重点关注教职工的人际关系状况以及幸福感；在尊重需求方面，重点关注教职工的自我效能感，工作中是否被尊重、职业是否被外界认同，晋升机会是否平等，成就是否得到承认</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工资收入和福利待遇等；在自我实现需求方面，重点关注教职工的自我价值是否得到实现等。</w:t>
      </w:r>
    </w:p>
    <w:p>
      <w:pPr>
        <w:pageBreakBefore w:val="0"/>
        <w:kinsoku/>
        <w:wordWrap/>
        <w:overflowPunct/>
        <w:topLinePunct w:val="0"/>
        <w:autoSpaceDE/>
        <w:autoSpaceDN/>
        <w:bidi w:val="0"/>
        <w:adjustRightInd/>
        <w:snapToGrid/>
        <w:spacing w:line="240" w:lineRule="auto"/>
        <w:ind w:right="0" w:rightChars="0" w:firstLine="560" w:firstLineChars="200"/>
        <w:textAlignment w:val="auto"/>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br w:type="page"/>
      </w:r>
    </w:p>
    <w:p>
      <w:pPr>
        <w:pageBreakBefore w:val="0"/>
        <w:kinsoku/>
        <w:wordWrap/>
        <w:overflowPunct/>
        <w:topLinePunct w:val="0"/>
        <w:autoSpaceDE/>
        <w:autoSpaceDN/>
        <w:bidi w:val="0"/>
        <w:adjustRightInd/>
        <w:snapToGrid/>
        <w:spacing w:line="240" w:lineRule="auto"/>
        <w:ind w:right="0" w:rightChars="0" w:firstLine="560" w:firstLineChars="200"/>
        <w:jc w:val="center"/>
        <w:textAlignment w:val="auto"/>
        <w:rPr>
          <w:rFonts w:hint="eastAsia" w:asciiTheme="minorEastAsia" w:hAnsiTheme="minorEastAsia" w:eastAsiaTheme="minorEastAsia" w:cstheme="minorEastAsia"/>
          <w:b w:val="0"/>
          <w:bCs w:val="0"/>
          <w:kern w:val="0"/>
          <w:sz w:val="21"/>
          <w:szCs w:val="21"/>
        </w:rPr>
      </w:pPr>
      <w:r>
        <w:rPr>
          <w:rFonts w:hint="eastAsia" w:asciiTheme="minorEastAsia" w:hAnsiTheme="minorEastAsia" w:eastAsiaTheme="minorEastAsia" w:cstheme="minorEastAsia"/>
          <w:b w:val="0"/>
          <w:bCs w:val="0"/>
          <w:kern w:val="0"/>
          <w:sz w:val="21"/>
          <w:szCs w:val="21"/>
        </w:rPr>
        <w:t>表1</w:t>
      </w:r>
      <w:r>
        <w:rPr>
          <w:rFonts w:hint="eastAsia" w:asciiTheme="minorEastAsia" w:hAnsiTheme="minorEastAsia" w:eastAsiaTheme="minorEastAsia" w:cstheme="minorEastAsia"/>
          <w:b w:val="0"/>
          <w:bCs w:val="0"/>
          <w:kern w:val="0"/>
          <w:sz w:val="21"/>
          <w:szCs w:val="21"/>
          <w:lang w:val="en-US" w:eastAsia="zh-CN"/>
        </w:rPr>
        <w:t xml:space="preserve"> </w:t>
      </w:r>
      <w:r>
        <w:rPr>
          <w:rFonts w:hint="eastAsia" w:asciiTheme="minorEastAsia" w:hAnsiTheme="minorEastAsia" w:eastAsiaTheme="minorEastAsia" w:cstheme="minorEastAsia"/>
          <w:b w:val="0"/>
          <w:bCs w:val="0"/>
          <w:kern w:val="0"/>
          <w:sz w:val="21"/>
          <w:szCs w:val="21"/>
        </w:rPr>
        <w:t>基于需求层次理论的职业院校教职工状况和诉求分析框架</w:t>
      </w:r>
    </w:p>
    <w:tbl>
      <w:tblPr>
        <w:tblStyle w:val="14"/>
        <w:tblW w:w="8100" w:type="dxa"/>
        <w:tblInd w:w="3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7"/>
        <w:gridCol w:w="1991"/>
        <w:gridCol w:w="51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987"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序号</w:t>
            </w:r>
          </w:p>
        </w:tc>
        <w:tc>
          <w:tcPr>
            <w:tcW w:w="1991"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一级项目</w:t>
            </w:r>
          </w:p>
        </w:tc>
        <w:tc>
          <w:tcPr>
            <w:tcW w:w="512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二级指标项目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9" w:hRule="atLeast"/>
        </w:trPr>
        <w:tc>
          <w:tcPr>
            <w:tcW w:w="987"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w:t>
            </w:r>
          </w:p>
        </w:tc>
        <w:tc>
          <w:tcPr>
            <w:tcW w:w="1991"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生理需求</w:t>
            </w:r>
          </w:p>
        </w:tc>
        <w:tc>
          <w:tcPr>
            <w:tcW w:w="512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身体健康状况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2" w:hRule="atLeast"/>
        </w:trPr>
        <w:tc>
          <w:tcPr>
            <w:tcW w:w="987"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w:t>
            </w:r>
          </w:p>
        </w:tc>
        <w:tc>
          <w:tcPr>
            <w:tcW w:w="1991"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安全需求</w:t>
            </w:r>
          </w:p>
        </w:tc>
        <w:tc>
          <w:tcPr>
            <w:tcW w:w="512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工作压力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9" w:hRule="atLeast"/>
        </w:trPr>
        <w:tc>
          <w:tcPr>
            <w:tcW w:w="98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asciiTheme="minorEastAsia" w:hAnsiTheme="minorEastAsia" w:eastAsiaTheme="minorEastAsia" w:cstheme="minorEastAsia"/>
                <w:kern w:val="0"/>
                <w:sz w:val="24"/>
                <w:szCs w:val="24"/>
              </w:rPr>
            </w:pPr>
          </w:p>
        </w:tc>
        <w:tc>
          <w:tcPr>
            <w:tcW w:w="1991"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asciiTheme="minorEastAsia" w:hAnsiTheme="minorEastAsia" w:eastAsiaTheme="minorEastAsia" w:cstheme="minorEastAsia"/>
                <w:kern w:val="0"/>
                <w:sz w:val="24"/>
                <w:szCs w:val="24"/>
              </w:rPr>
            </w:pPr>
          </w:p>
        </w:tc>
        <w:tc>
          <w:tcPr>
            <w:tcW w:w="512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职业生涯发展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9" w:hRule="atLeast"/>
        </w:trPr>
        <w:tc>
          <w:tcPr>
            <w:tcW w:w="987"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w:t>
            </w:r>
          </w:p>
        </w:tc>
        <w:tc>
          <w:tcPr>
            <w:tcW w:w="1991"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eastAsia="zh-CN"/>
              </w:rPr>
              <w:t>情感</w:t>
            </w:r>
            <w:r>
              <w:rPr>
                <w:rFonts w:hint="eastAsia" w:asciiTheme="minorEastAsia" w:hAnsiTheme="minorEastAsia" w:eastAsiaTheme="minorEastAsia" w:cstheme="minorEastAsia"/>
                <w:kern w:val="0"/>
                <w:sz w:val="24"/>
                <w:szCs w:val="24"/>
              </w:rPr>
              <w:t>需求</w:t>
            </w:r>
          </w:p>
        </w:tc>
        <w:tc>
          <w:tcPr>
            <w:tcW w:w="512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工作环境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9" w:hRule="atLeast"/>
        </w:trPr>
        <w:tc>
          <w:tcPr>
            <w:tcW w:w="98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asciiTheme="minorEastAsia" w:hAnsiTheme="minorEastAsia" w:eastAsiaTheme="minorEastAsia" w:cstheme="minorEastAsia"/>
                <w:sz w:val="24"/>
                <w:szCs w:val="24"/>
              </w:rPr>
            </w:pPr>
          </w:p>
        </w:tc>
        <w:tc>
          <w:tcPr>
            <w:tcW w:w="1991"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asciiTheme="minorEastAsia" w:hAnsiTheme="minorEastAsia" w:eastAsiaTheme="minorEastAsia" w:cstheme="minorEastAsia"/>
                <w:sz w:val="24"/>
                <w:szCs w:val="24"/>
              </w:rPr>
            </w:pPr>
          </w:p>
        </w:tc>
        <w:tc>
          <w:tcPr>
            <w:tcW w:w="512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人际关系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9" w:hRule="atLeast"/>
        </w:trPr>
        <w:tc>
          <w:tcPr>
            <w:tcW w:w="98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asciiTheme="minorEastAsia" w:hAnsiTheme="minorEastAsia" w:eastAsiaTheme="minorEastAsia" w:cstheme="minorEastAsia"/>
                <w:kern w:val="0"/>
                <w:sz w:val="24"/>
                <w:szCs w:val="24"/>
              </w:rPr>
            </w:pPr>
          </w:p>
        </w:tc>
        <w:tc>
          <w:tcPr>
            <w:tcW w:w="1991"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asciiTheme="minorEastAsia" w:hAnsiTheme="minorEastAsia" w:eastAsiaTheme="minorEastAsia" w:cstheme="minorEastAsia"/>
                <w:kern w:val="0"/>
                <w:sz w:val="24"/>
                <w:szCs w:val="24"/>
              </w:rPr>
            </w:pPr>
          </w:p>
        </w:tc>
        <w:tc>
          <w:tcPr>
            <w:tcW w:w="512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自我优越感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9" w:hRule="atLeast"/>
        </w:trPr>
        <w:tc>
          <w:tcPr>
            <w:tcW w:w="987"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w:t>
            </w:r>
          </w:p>
        </w:tc>
        <w:tc>
          <w:tcPr>
            <w:tcW w:w="1991"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尊重需求</w:t>
            </w:r>
          </w:p>
        </w:tc>
        <w:tc>
          <w:tcPr>
            <w:tcW w:w="512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外界认同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7" w:hRule="atLeast"/>
        </w:trPr>
        <w:tc>
          <w:tcPr>
            <w:tcW w:w="98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asciiTheme="minorEastAsia" w:hAnsiTheme="minorEastAsia" w:eastAsiaTheme="minorEastAsia" w:cstheme="minorEastAsia"/>
                <w:sz w:val="24"/>
                <w:szCs w:val="24"/>
              </w:rPr>
            </w:pPr>
          </w:p>
        </w:tc>
        <w:tc>
          <w:tcPr>
            <w:tcW w:w="1991"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asciiTheme="minorEastAsia" w:hAnsiTheme="minorEastAsia" w:eastAsiaTheme="minorEastAsia" w:cstheme="minorEastAsia"/>
                <w:sz w:val="24"/>
                <w:szCs w:val="24"/>
              </w:rPr>
            </w:pPr>
          </w:p>
        </w:tc>
        <w:tc>
          <w:tcPr>
            <w:tcW w:w="512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福利待遇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7" w:hRule="atLeast"/>
        </w:trPr>
        <w:tc>
          <w:tcPr>
            <w:tcW w:w="98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asciiTheme="minorEastAsia" w:hAnsiTheme="minorEastAsia" w:eastAsiaTheme="minorEastAsia" w:cstheme="minorEastAsia"/>
                <w:sz w:val="24"/>
                <w:szCs w:val="24"/>
              </w:rPr>
            </w:pPr>
          </w:p>
        </w:tc>
        <w:tc>
          <w:tcPr>
            <w:tcW w:w="1991"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asciiTheme="minorEastAsia" w:hAnsiTheme="minorEastAsia" w:eastAsiaTheme="minorEastAsia" w:cstheme="minorEastAsia"/>
                <w:sz w:val="24"/>
                <w:szCs w:val="24"/>
              </w:rPr>
            </w:pPr>
          </w:p>
        </w:tc>
        <w:tc>
          <w:tcPr>
            <w:tcW w:w="512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工资收入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98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asciiTheme="minorEastAsia" w:hAnsiTheme="minorEastAsia" w:eastAsiaTheme="minorEastAsia" w:cstheme="minorEastAsia"/>
                <w:sz w:val="24"/>
                <w:szCs w:val="24"/>
              </w:rPr>
            </w:pPr>
          </w:p>
        </w:tc>
        <w:tc>
          <w:tcPr>
            <w:tcW w:w="1991"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asciiTheme="minorEastAsia" w:hAnsiTheme="minorEastAsia" w:eastAsiaTheme="minorEastAsia" w:cstheme="minorEastAsia"/>
                <w:sz w:val="24"/>
                <w:szCs w:val="24"/>
              </w:rPr>
            </w:pPr>
          </w:p>
        </w:tc>
        <w:tc>
          <w:tcPr>
            <w:tcW w:w="512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工作认可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trPr>
        <w:tc>
          <w:tcPr>
            <w:tcW w:w="98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asciiTheme="minorEastAsia" w:hAnsiTheme="minorEastAsia" w:eastAsiaTheme="minorEastAsia" w:cstheme="minorEastAsia"/>
                <w:kern w:val="0"/>
                <w:sz w:val="24"/>
                <w:szCs w:val="24"/>
              </w:rPr>
            </w:pPr>
          </w:p>
        </w:tc>
        <w:tc>
          <w:tcPr>
            <w:tcW w:w="1991"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asciiTheme="minorEastAsia" w:hAnsiTheme="minorEastAsia" w:eastAsiaTheme="minorEastAsia" w:cstheme="minorEastAsia"/>
                <w:kern w:val="0"/>
                <w:sz w:val="24"/>
                <w:szCs w:val="24"/>
              </w:rPr>
            </w:pPr>
          </w:p>
        </w:tc>
        <w:tc>
          <w:tcPr>
            <w:tcW w:w="512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职业倦怠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9" w:hRule="atLeast"/>
        </w:trPr>
        <w:tc>
          <w:tcPr>
            <w:tcW w:w="987"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5</w:t>
            </w:r>
          </w:p>
        </w:tc>
        <w:tc>
          <w:tcPr>
            <w:tcW w:w="1991"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自我实现需求</w:t>
            </w:r>
          </w:p>
        </w:tc>
        <w:tc>
          <w:tcPr>
            <w:tcW w:w="512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学生成才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987"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asciiTheme="minorEastAsia" w:hAnsiTheme="minorEastAsia" w:eastAsiaTheme="minorEastAsia" w:cstheme="minorEastAsia"/>
                <w:sz w:val="24"/>
                <w:szCs w:val="24"/>
              </w:rPr>
            </w:pPr>
          </w:p>
        </w:tc>
        <w:tc>
          <w:tcPr>
            <w:tcW w:w="1991"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asciiTheme="minorEastAsia" w:hAnsiTheme="minorEastAsia" w:eastAsiaTheme="minorEastAsia" w:cstheme="minorEastAsia"/>
                <w:sz w:val="24"/>
                <w:szCs w:val="24"/>
              </w:rPr>
            </w:pPr>
          </w:p>
        </w:tc>
        <w:tc>
          <w:tcPr>
            <w:tcW w:w="512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理想的实现</w:t>
            </w:r>
          </w:p>
        </w:tc>
      </w:tr>
    </w:tbl>
    <w:p>
      <w:pPr>
        <w:pageBreakBefore w:val="0"/>
        <w:kinsoku/>
        <w:wordWrap/>
        <w:overflowPunct/>
        <w:topLinePunct w:val="0"/>
        <w:autoSpaceDE/>
        <w:autoSpaceDN/>
        <w:bidi w:val="0"/>
        <w:adjustRightInd/>
        <w:snapToGrid/>
        <w:spacing w:line="240" w:lineRule="auto"/>
        <w:ind w:right="0" w:rightChars="0" w:firstLine="560" w:firstLineChars="200"/>
        <w:textAlignment w:val="auto"/>
        <w:rPr>
          <w:rFonts w:hint="eastAsia" w:asciiTheme="minorEastAsia" w:hAnsiTheme="minorEastAsia" w:eastAsiaTheme="minorEastAsia" w:cstheme="minorEastAsia"/>
          <w:kern w:val="0"/>
          <w:sz w:val="24"/>
          <w:szCs w:val="24"/>
        </w:rPr>
      </w:pPr>
    </w:p>
    <w:p>
      <w:pPr>
        <w:pageBreakBefore w:val="0"/>
        <w:kinsoku/>
        <w:wordWrap/>
        <w:overflowPunct/>
        <w:topLinePunct w:val="0"/>
        <w:autoSpaceDE/>
        <w:autoSpaceDN/>
        <w:bidi w:val="0"/>
        <w:adjustRightInd/>
        <w:snapToGrid/>
        <w:spacing w:line="240" w:lineRule="auto"/>
        <w:ind w:right="0" w:rightChars="0" w:firstLine="560" w:firstLineChars="200"/>
        <w:textAlignment w:val="auto"/>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lang w:val="en-US" w:eastAsia="zh-CN"/>
        </w:rPr>
        <w:t>2.</w:t>
      </w:r>
      <w:r>
        <w:rPr>
          <w:rFonts w:hint="eastAsia" w:asciiTheme="minorEastAsia" w:hAnsiTheme="minorEastAsia" w:eastAsiaTheme="minorEastAsia" w:cstheme="minorEastAsia"/>
          <w:b/>
          <w:bCs/>
          <w:kern w:val="0"/>
          <w:sz w:val="24"/>
          <w:szCs w:val="24"/>
        </w:rPr>
        <w:t>完成调查问卷编制</w:t>
      </w:r>
    </w:p>
    <w:p>
      <w:pPr>
        <w:pageBreakBefore w:val="0"/>
        <w:kinsoku/>
        <w:wordWrap/>
        <w:overflowPunct/>
        <w:topLinePunct w:val="0"/>
        <w:autoSpaceDE/>
        <w:autoSpaceDN/>
        <w:bidi w:val="0"/>
        <w:adjustRightInd/>
        <w:snapToGrid/>
        <w:spacing w:line="240" w:lineRule="auto"/>
        <w:ind w:right="0" w:rightChars="0" w:firstLine="56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调查问卷（附件2）以文献综述中前人研究的不足为立足点，结合课题研究实际，从基本情况、教职工状况和诉求以及建议等三个部分进行设计和编制。共40道题，2道主观题，38道客观题。客观题题中有2道多选题和36道单选题。主要内容涉及工作环境、工作压力、职业认同、职业期待、职业挫败、经济收入、身体健康、幸福感、价值观、人才观等方面，力图全面真实地反映我市职业院校教职工状况和诉求。</w:t>
      </w:r>
    </w:p>
    <w:p>
      <w:pPr>
        <w:pageBreakBefore w:val="0"/>
        <w:kinsoku/>
        <w:wordWrap/>
        <w:overflowPunct/>
        <w:topLinePunct w:val="0"/>
        <w:autoSpaceDE/>
        <w:autoSpaceDN/>
        <w:bidi w:val="0"/>
        <w:adjustRightInd/>
        <w:snapToGrid/>
        <w:spacing w:line="240" w:lineRule="auto"/>
        <w:ind w:right="0" w:rightChars="0" w:firstLine="560" w:firstLineChars="200"/>
        <w:textAlignment w:val="auto"/>
        <w:rPr>
          <w:rFonts w:hint="eastAsia" w:asciiTheme="minorEastAsia" w:hAnsiTheme="minorEastAsia" w:eastAsiaTheme="minorEastAsia" w:cstheme="minorEastAsia"/>
          <w:b/>
          <w:bCs/>
          <w:kern w:val="0"/>
          <w:sz w:val="24"/>
          <w:szCs w:val="24"/>
          <w:lang w:eastAsia="zh-CN"/>
        </w:rPr>
      </w:pPr>
      <w:r>
        <w:rPr>
          <w:rFonts w:hint="eastAsia" w:asciiTheme="minorEastAsia" w:hAnsiTheme="minorEastAsia" w:eastAsiaTheme="minorEastAsia" w:cstheme="minorEastAsia"/>
          <w:b/>
          <w:bCs/>
          <w:kern w:val="0"/>
          <w:sz w:val="24"/>
          <w:szCs w:val="24"/>
          <w:lang w:val="en-US" w:eastAsia="zh-CN"/>
        </w:rPr>
        <w:t>3.</w:t>
      </w:r>
      <w:r>
        <w:rPr>
          <w:rFonts w:hint="eastAsia" w:asciiTheme="minorEastAsia" w:hAnsiTheme="minorEastAsia" w:eastAsiaTheme="minorEastAsia" w:cstheme="minorEastAsia"/>
          <w:b/>
          <w:bCs/>
          <w:kern w:val="0"/>
          <w:sz w:val="24"/>
          <w:szCs w:val="24"/>
          <w:lang w:eastAsia="zh-CN"/>
        </w:rPr>
        <w:t>完成</w:t>
      </w:r>
      <w:r>
        <w:rPr>
          <w:rFonts w:hint="eastAsia" w:asciiTheme="minorEastAsia" w:hAnsiTheme="minorEastAsia" w:eastAsiaTheme="minorEastAsia" w:cstheme="minorEastAsia"/>
          <w:b/>
          <w:bCs/>
          <w:kern w:val="0"/>
          <w:sz w:val="24"/>
          <w:szCs w:val="24"/>
        </w:rPr>
        <w:t>调查问卷</w:t>
      </w:r>
      <w:r>
        <w:rPr>
          <w:rFonts w:hint="eastAsia" w:asciiTheme="minorEastAsia" w:hAnsiTheme="minorEastAsia" w:eastAsiaTheme="minorEastAsia" w:cstheme="minorEastAsia"/>
          <w:b/>
          <w:bCs/>
          <w:kern w:val="0"/>
          <w:sz w:val="24"/>
          <w:szCs w:val="24"/>
          <w:lang w:eastAsia="zh-CN"/>
        </w:rPr>
        <w:t>分析报告</w:t>
      </w:r>
    </w:p>
    <w:p>
      <w:pPr>
        <w:pageBreakBefore w:val="0"/>
        <w:kinsoku/>
        <w:wordWrap/>
        <w:overflowPunct/>
        <w:topLinePunct w:val="0"/>
        <w:autoSpaceDE/>
        <w:autoSpaceDN/>
        <w:bidi w:val="0"/>
        <w:adjustRightInd/>
        <w:snapToGrid/>
        <w:spacing w:line="240" w:lineRule="auto"/>
        <w:ind w:right="0" w:rightChars="0" w:firstLine="56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b w:val="0"/>
          <w:bCs w:val="0"/>
          <w:kern w:val="0"/>
          <w:sz w:val="24"/>
          <w:szCs w:val="24"/>
        </w:rPr>
        <w:t>调查问卷</w:t>
      </w:r>
      <w:r>
        <w:rPr>
          <w:rFonts w:hint="eastAsia" w:asciiTheme="minorEastAsia" w:hAnsiTheme="minorEastAsia" w:eastAsiaTheme="minorEastAsia" w:cstheme="minorEastAsia"/>
          <w:b w:val="0"/>
          <w:bCs w:val="0"/>
          <w:kern w:val="0"/>
          <w:sz w:val="24"/>
          <w:szCs w:val="24"/>
          <w:lang w:eastAsia="zh-CN"/>
        </w:rPr>
        <w:t>分析报告（</w:t>
      </w:r>
      <w:r>
        <w:rPr>
          <w:rFonts w:hint="eastAsia" w:asciiTheme="minorEastAsia" w:hAnsiTheme="minorEastAsia" w:eastAsiaTheme="minorEastAsia" w:cstheme="minorEastAsia"/>
          <w:b w:val="0"/>
          <w:bCs w:val="0"/>
          <w:kern w:val="0"/>
          <w:sz w:val="24"/>
          <w:szCs w:val="24"/>
          <w:lang w:val="en-US" w:eastAsia="zh-CN"/>
        </w:rPr>
        <w:t>见附件3</w:t>
      </w:r>
      <w:r>
        <w:rPr>
          <w:rFonts w:hint="eastAsia" w:asciiTheme="minorEastAsia" w:hAnsiTheme="minorEastAsia" w:eastAsiaTheme="minorEastAsia" w:cstheme="minorEastAsia"/>
          <w:b w:val="0"/>
          <w:bCs w:val="0"/>
          <w:kern w:val="0"/>
          <w:sz w:val="24"/>
          <w:szCs w:val="24"/>
          <w:lang w:eastAsia="zh-CN"/>
        </w:rPr>
        <w:t>）主要包括以下几个方面，</w:t>
      </w:r>
      <w:r>
        <w:rPr>
          <w:rFonts w:hint="eastAsia" w:asciiTheme="minorEastAsia" w:hAnsiTheme="minorEastAsia" w:eastAsiaTheme="minorEastAsia" w:cstheme="minorEastAsia"/>
          <w:kern w:val="0"/>
          <w:sz w:val="24"/>
          <w:szCs w:val="24"/>
          <w:lang w:val="en-US" w:eastAsia="zh-CN"/>
        </w:rPr>
        <w:t>首先分析报告对抽样进行了说明。共发放回收329份问卷，按照主要类别分，</w:t>
      </w:r>
      <w:r>
        <w:rPr>
          <w:rFonts w:hint="eastAsia" w:ascii="宋体" w:hAnsi="宋体" w:cs="宋体"/>
          <w:b w:val="0"/>
          <w:bCs w:val="0"/>
          <w:kern w:val="0"/>
          <w:sz w:val="24"/>
          <w:szCs w:val="24"/>
          <w:lang w:val="en-US" w:eastAsia="zh-CN"/>
        </w:rPr>
        <w:t>中专类学校78名，占比23.71%；职业类学校106名，占比32.22%；技工类学校18名，占比5.47%；高职院校教职工127名，占比38.6%。与上海市以上几类学校数量比例基本相符。</w:t>
      </w:r>
      <w:r>
        <w:rPr>
          <w:rFonts w:hint="eastAsia" w:asciiTheme="minorEastAsia" w:hAnsiTheme="minorEastAsia" w:eastAsiaTheme="minorEastAsia" w:cstheme="minorEastAsia"/>
          <w:kern w:val="0"/>
          <w:sz w:val="24"/>
          <w:szCs w:val="24"/>
          <w:lang w:val="en-US" w:eastAsia="zh-CN"/>
        </w:rPr>
        <w:t>其次，分析了受访者的群体特征。从受访者的年龄与教龄结构、学历结构、职务职称等方面进行了汇总分析。最后重点以马斯洛需求层次理论为基本分析框架，将回收的329份问卷按照生理（身体健康）需求、安全需求、情感需求、尊重需求和自我实现需求等几个方面分析教职工状况和诉求，提出了基本研究观点。</w:t>
      </w:r>
    </w:p>
    <w:p>
      <w:pPr>
        <w:pageBreakBefore w:val="0"/>
        <w:kinsoku/>
        <w:wordWrap/>
        <w:overflowPunct/>
        <w:topLinePunct w:val="0"/>
        <w:autoSpaceDE/>
        <w:autoSpaceDN/>
        <w:bidi w:val="0"/>
        <w:adjustRightInd/>
        <w:snapToGrid/>
        <w:spacing w:line="240" w:lineRule="auto"/>
        <w:ind w:right="0" w:rightChars="0" w:firstLine="560" w:firstLineChars="200"/>
        <w:textAlignment w:val="auto"/>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lang w:val="en-US" w:eastAsia="zh-CN"/>
        </w:rPr>
        <w:t>4.</w:t>
      </w:r>
      <w:r>
        <w:rPr>
          <w:rFonts w:hint="eastAsia" w:asciiTheme="minorEastAsia" w:hAnsiTheme="minorEastAsia" w:eastAsiaTheme="minorEastAsia" w:cstheme="minorEastAsia"/>
          <w:b/>
          <w:bCs/>
          <w:kern w:val="0"/>
          <w:sz w:val="24"/>
          <w:szCs w:val="24"/>
        </w:rPr>
        <w:t>公开发表论文1篇</w:t>
      </w:r>
    </w:p>
    <w:p>
      <w:pPr>
        <w:pageBreakBefore w:val="0"/>
        <w:kinsoku/>
        <w:wordWrap/>
        <w:overflowPunct/>
        <w:topLinePunct w:val="0"/>
        <w:autoSpaceDE/>
        <w:autoSpaceDN/>
        <w:bidi w:val="0"/>
        <w:adjustRightInd/>
        <w:snapToGrid/>
        <w:spacing w:line="240" w:lineRule="auto"/>
        <w:ind w:right="0" w:rightChars="0" w:firstLine="56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以上海教育工会课题基金项目的名义在全国中文核心期刊《职教论坛》第2</w:t>
      </w:r>
      <w:r>
        <w:rPr>
          <w:rFonts w:hint="eastAsia" w:asciiTheme="minorEastAsia" w:hAnsiTheme="minorEastAsia" w:eastAsiaTheme="minorEastAsia" w:cstheme="minorEastAsia"/>
          <w:kern w:val="0"/>
          <w:sz w:val="24"/>
          <w:szCs w:val="24"/>
          <w:lang w:val="en-US" w:eastAsia="zh-CN"/>
        </w:rPr>
        <w:t>5</w:t>
      </w:r>
      <w:r>
        <w:rPr>
          <w:rFonts w:hint="eastAsia" w:asciiTheme="minorEastAsia" w:hAnsiTheme="minorEastAsia" w:eastAsiaTheme="minorEastAsia" w:cstheme="minorEastAsia"/>
          <w:kern w:val="0"/>
          <w:sz w:val="24"/>
          <w:szCs w:val="24"/>
        </w:rPr>
        <w:t>期（</w:t>
      </w:r>
      <w:r>
        <w:rPr>
          <w:rFonts w:hint="eastAsia" w:asciiTheme="minorEastAsia" w:hAnsiTheme="minorEastAsia" w:eastAsiaTheme="minorEastAsia" w:cstheme="minorEastAsia"/>
          <w:kern w:val="0"/>
          <w:sz w:val="24"/>
          <w:szCs w:val="24"/>
          <w:lang w:val="en-US" w:eastAsia="zh-CN"/>
        </w:rPr>
        <w:t>10</w:t>
      </w:r>
      <w:r>
        <w:rPr>
          <w:rFonts w:hint="eastAsia" w:asciiTheme="minorEastAsia" w:hAnsiTheme="minorEastAsia" w:eastAsiaTheme="minorEastAsia" w:cstheme="minorEastAsia"/>
          <w:kern w:val="0"/>
          <w:sz w:val="24"/>
          <w:szCs w:val="24"/>
        </w:rPr>
        <w:t>月）发表论文</w:t>
      </w:r>
      <w:r>
        <w:rPr>
          <w:rFonts w:hint="eastAsia" w:asciiTheme="minorEastAsia" w:hAnsiTheme="minorEastAsia" w:eastAsiaTheme="minorEastAsia" w:cstheme="minorEastAsia"/>
          <w:kern w:val="0"/>
          <w:sz w:val="24"/>
          <w:szCs w:val="24"/>
          <w:lang w:val="en-US" w:eastAsia="zh-CN"/>
        </w:rPr>
        <w:t>1</w:t>
      </w:r>
      <w:r>
        <w:rPr>
          <w:rFonts w:hint="eastAsia" w:asciiTheme="minorEastAsia" w:hAnsiTheme="minorEastAsia" w:eastAsiaTheme="minorEastAsia" w:cstheme="minorEastAsia"/>
          <w:kern w:val="0"/>
          <w:sz w:val="24"/>
          <w:szCs w:val="24"/>
        </w:rPr>
        <w:t>篇，题目为《职业院校校本教材非理性开发的实践反思》，论文提出由于职业院校校本教材的非理性开发，严重加剧了职业院校教师的工作压力，职业院校教师状况不佳以及强烈的职业减负诉求。提出通过理性开发校本教材对缓解教师工作压力。</w:t>
      </w:r>
    </w:p>
    <w:p>
      <w:pPr>
        <w:pStyle w:val="3"/>
        <w:pageBreakBefore w:val="0"/>
        <w:kinsoku/>
        <w:wordWrap/>
        <w:overflowPunct/>
        <w:topLinePunct w:val="0"/>
        <w:autoSpaceDE/>
        <w:autoSpaceDN/>
        <w:bidi w:val="0"/>
        <w:adjustRightInd/>
        <w:snapToGrid/>
        <w:spacing w:before="0" w:after="0" w:line="240" w:lineRule="auto"/>
        <w:ind w:right="0" w:rightChars="0" w:firstLine="482"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（二）</w:t>
      </w:r>
      <w:bookmarkEnd w:id="10"/>
      <w:r>
        <w:rPr>
          <w:rFonts w:hint="eastAsia" w:asciiTheme="minorEastAsia" w:hAnsiTheme="minorEastAsia" w:eastAsiaTheme="minorEastAsia" w:cstheme="minorEastAsia"/>
          <w:sz w:val="24"/>
          <w:szCs w:val="24"/>
          <w:lang w:eastAsia="zh-CN"/>
        </w:rPr>
        <w:t>主要观点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Theme="minorEastAsia" w:hAnsiTheme="minorEastAsia" w:eastAsiaTheme="minorEastAsia" w:cstheme="minorEastAsia"/>
          <w:b/>
          <w:bCs/>
          <w:kern w:val="0"/>
          <w:sz w:val="24"/>
          <w:szCs w:val="24"/>
          <w:lang w:val="en-US" w:eastAsia="zh-CN"/>
        </w:rPr>
      </w:pPr>
      <w:r>
        <w:rPr>
          <w:rFonts w:hint="eastAsia" w:asciiTheme="minorEastAsia" w:hAnsiTheme="minorEastAsia" w:eastAsiaTheme="minorEastAsia" w:cstheme="minorEastAsia"/>
          <w:b/>
          <w:bCs/>
          <w:kern w:val="0"/>
          <w:sz w:val="24"/>
          <w:szCs w:val="24"/>
          <w:lang w:val="en-US" w:eastAsia="zh-CN"/>
        </w:rPr>
        <w:t>1.职业院校教职工软硬环境满意度较高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Theme="minorEastAsia" w:hAnsiTheme="minorEastAsia" w:eastAsiaTheme="minorEastAsia" w:cstheme="minorEastAsia"/>
          <w:b/>
          <w:bCs/>
          <w:kern w:val="0"/>
          <w:sz w:val="24"/>
          <w:szCs w:val="24"/>
          <w:lang w:val="en-US" w:eastAsia="zh-CN"/>
        </w:rPr>
      </w:pPr>
      <w:r>
        <w:rPr>
          <w:rFonts w:hint="eastAsia" w:asciiTheme="minorEastAsia" w:hAnsiTheme="minorEastAsia" w:eastAsiaTheme="minorEastAsia" w:cstheme="minorEastAsia"/>
          <w:b w:val="0"/>
          <w:bCs w:val="0"/>
          <w:kern w:val="0"/>
          <w:sz w:val="24"/>
          <w:szCs w:val="24"/>
          <w:lang w:val="en-US" w:eastAsia="zh-CN"/>
        </w:rPr>
        <w:t>职业院校教职工工作环境的认可度总体上呈偏正态分布，状态良好，超四成受访者认为较好，仅一成认为比较差。软环境工作氛围方面，近八成教职工认为工作氛围较好或很好。说明我市职业院校教职工中之间的工作氛围是良好的，同事之间的关系比较融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Theme="minorEastAsia" w:hAnsiTheme="minorEastAsia" w:eastAsiaTheme="minorEastAsia" w:cstheme="minorEastAsia"/>
          <w:b/>
          <w:bCs/>
          <w:kern w:val="0"/>
          <w:sz w:val="24"/>
          <w:szCs w:val="24"/>
          <w:lang w:val="en-US" w:eastAsia="zh-CN"/>
        </w:rPr>
      </w:pPr>
      <w:r>
        <w:rPr>
          <w:rFonts w:hint="eastAsia" w:asciiTheme="minorEastAsia" w:hAnsiTheme="minorEastAsia" w:eastAsiaTheme="minorEastAsia" w:cstheme="minorEastAsia"/>
          <w:b/>
          <w:bCs/>
          <w:kern w:val="0"/>
          <w:sz w:val="24"/>
          <w:szCs w:val="24"/>
          <w:lang w:val="en-US" w:eastAsia="zh-CN"/>
        </w:rPr>
        <w:t>2.我市职业院校教职工身体状况满意度总体偏低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Theme="minorEastAsia" w:hAnsiTheme="minorEastAsia" w:eastAsiaTheme="minorEastAsia" w:cstheme="minorEastAsia"/>
          <w:b w:val="0"/>
          <w:bCs w:val="0"/>
          <w:kern w:val="0"/>
          <w:sz w:val="24"/>
          <w:szCs w:val="24"/>
          <w:lang w:val="en-US" w:eastAsia="zh-CN"/>
        </w:rPr>
      </w:pPr>
      <w:r>
        <w:rPr>
          <w:rFonts w:hint="eastAsia" w:asciiTheme="minorEastAsia" w:hAnsiTheme="minorEastAsia" w:eastAsiaTheme="minorEastAsia" w:cstheme="minorEastAsia"/>
          <w:b w:val="0"/>
          <w:bCs w:val="0"/>
          <w:kern w:val="0"/>
          <w:sz w:val="24"/>
          <w:szCs w:val="24"/>
          <w:lang w:val="en-US" w:eastAsia="zh-CN"/>
        </w:rPr>
        <w:t>从调查数据来看，我市职业院校教职工身体状况是令人担忧的，年轻群体中有近四成教职工对身体健康程度不满意，大多数为基本满意，很满意的比例仅为5.17%。这种总体偏低的情况与职业院校给教职工提供的身体健康条件保障，以及教职工工作压力、工作节奏都有关系。建议职业院校加强对教职工身体健康的关注，提供条件保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Theme="minorEastAsia" w:hAnsiTheme="minorEastAsia" w:eastAsiaTheme="minorEastAsia" w:cstheme="minorEastAsia"/>
          <w:b/>
          <w:bCs/>
          <w:kern w:val="0"/>
          <w:sz w:val="24"/>
          <w:szCs w:val="24"/>
          <w:lang w:val="en-US" w:eastAsia="zh-CN"/>
        </w:rPr>
      </w:pPr>
      <w:r>
        <w:rPr>
          <w:rFonts w:hint="eastAsia" w:asciiTheme="minorEastAsia" w:hAnsiTheme="minorEastAsia" w:eastAsiaTheme="minorEastAsia" w:cstheme="minorEastAsia"/>
          <w:b/>
          <w:bCs/>
          <w:kern w:val="0"/>
          <w:sz w:val="24"/>
          <w:szCs w:val="24"/>
          <w:lang w:val="en-US" w:eastAsia="zh-CN"/>
        </w:rPr>
        <w:t>3.职业院校教职工工作压力普遍偏大</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Theme="minorEastAsia" w:hAnsiTheme="minorEastAsia" w:eastAsiaTheme="minorEastAsia" w:cstheme="minorEastAsia"/>
          <w:b w:val="0"/>
          <w:bCs w:val="0"/>
          <w:kern w:val="0"/>
          <w:sz w:val="24"/>
          <w:szCs w:val="24"/>
          <w:lang w:val="en-US" w:eastAsia="zh-CN"/>
        </w:rPr>
      </w:pPr>
      <w:r>
        <w:rPr>
          <w:rFonts w:hint="eastAsia" w:asciiTheme="minorEastAsia" w:hAnsiTheme="minorEastAsia" w:eastAsiaTheme="minorEastAsia" w:cstheme="minorEastAsia"/>
          <w:b w:val="0"/>
          <w:bCs w:val="0"/>
          <w:kern w:val="0"/>
          <w:sz w:val="24"/>
          <w:szCs w:val="24"/>
          <w:lang w:val="en-US" w:eastAsia="zh-CN"/>
        </w:rPr>
        <w:t>从调查数据来看，20.97%的受访者压力很大；49.85%受访者压力较大；25.84%压力一般；仅有3.34%的受访者人为压力不大。说明我市职业院校教职工的工作压力状况是很不乐观的，绝大多数教职工处于强大的压力状况之下。主要的压力来源于薪酬待遇、职称评定和科研。建议相关部门提升教职工的薪酬待遇，加强科研培训，提升教职工的科研能力。</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Theme="minorEastAsia" w:hAnsiTheme="minorEastAsia" w:eastAsiaTheme="minorEastAsia" w:cstheme="minorEastAsia"/>
          <w:b/>
          <w:bCs/>
          <w:kern w:val="0"/>
          <w:sz w:val="24"/>
          <w:szCs w:val="24"/>
          <w:lang w:val="en-US" w:eastAsia="zh-CN"/>
        </w:rPr>
      </w:pPr>
      <w:r>
        <w:rPr>
          <w:rFonts w:hint="eastAsia" w:asciiTheme="minorEastAsia" w:hAnsiTheme="minorEastAsia" w:eastAsiaTheme="minorEastAsia" w:cstheme="minorEastAsia"/>
          <w:b/>
          <w:bCs/>
          <w:kern w:val="0"/>
          <w:sz w:val="24"/>
          <w:szCs w:val="24"/>
          <w:lang w:val="en-US" w:eastAsia="zh-CN"/>
        </w:rPr>
        <w:t>4.职业院校教职工工作时长四成超8小时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Theme="minorEastAsia" w:hAnsiTheme="minorEastAsia" w:eastAsiaTheme="minorEastAsia" w:cstheme="minorEastAsia"/>
          <w:b w:val="0"/>
          <w:bCs w:val="0"/>
          <w:kern w:val="0"/>
          <w:sz w:val="24"/>
          <w:szCs w:val="24"/>
          <w:lang w:val="en-US" w:eastAsia="zh-CN"/>
        </w:rPr>
      </w:pPr>
      <w:r>
        <w:rPr>
          <w:rFonts w:hint="eastAsia" w:asciiTheme="minorEastAsia" w:hAnsiTheme="minorEastAsia" w:eastAsiaTheme="minorEastAsia" w:cstheme="minorEastAsia"/>
          <w:b w:val="0"/>
          <w:bCs w:val="0"/>
          <w:kern w:val="0"/>
          <w:sz w:val="24"/>
          <w:szCs w:val="24"/>
          <w:lang w:val="en-US" w:eastAsia="zh-CN"/>
        </w:rPr>
        <w:t>集中表现在工作时长上，四成以上的教职工工作时长在9小时以上，加班成为常态。具体表现为0.3%的受访者小于4小时；7.29%的受访者5-6小时；46.5%的受访者7-8小时；36.17%的受访者9-12小时；还有9.73%的受访者平均每天工作超过12小时。这些数据可清楚地表明我市职业院校教职工工作压力大的程度。建议加强职业院校教职工引进力度，加大人员配置，缩短教职工工作时长。</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Theme="minorEastAsia" w:hAnsiTheme="minorEastAsia" w:eastAsiaTheme="minorEastAsia" w:cstheme="minorEastAsia"/>
          <w:b/>
          <w:bCs/>
          <w:kern w:val="0"/>
          <w:sz w:val="24"/>
          <w:szCs w:val="24"/>
          <w:lang w:val="en-US" w:eastAsia="zh-CN"/>
        </w:rPr>
      </w:pPr>
      <w:r>
        <w:rPr>
          <w:rFonts w:hint="eastAsia" w:asciiTheme="minorEastAsia" w:hAnsiTheme="minorEastAsia" w:eastAsiaTheme="minorEastAsia" w:cstheme="minorEastAsia"/>
          <w:b/>
          <w:bCs/>
          <w:kern w:val="0"/>
          <w:sz w:val="24"/>
          <w:szCs w:val="24"/>
          <w:lang w:val="en-US" w:eastAsia="zh-CN"/>
        </w:rPr>
        <w:t>5.职业院校教职工职业优越感不足</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Theme="minorEastAsia" w:hAnsiTheme="minorEastAsia" w:eastAsiaTheme="minorEastAsia" w:cstheme="minorEastAsia"/>
          <w:b w:val="0"/>
          <w:bCs w:val="0"/>
          <w:kern w:val="0"/>
          <w:sz w:val="24"/>
          <w:szCs w:val="24"/>
          <w:lang w:val="en-US" w:eastAsia="zh-CN"/>
        </w:rPr>
      </w:pPr>
      <w:r>
        <w:rPr>
          <w:rFonts w:hint="eastAsia" w:asciiTheme="minorEastAsia" w:hAnsiTheme="minorEastAsia" w:eastAsiaTheme="minorEastAsia" w:cstheme="minorEastAsia"/>
          <w:b w:val="0"/>
          <w:bCs w:val="0"/>
          <w:kern w:val="0"/>
          <w:sz w:val="24"/>
          <w:szCs w:val="24"/>
          <w:lang w:val="en-US" w:eastAsia="zh-CN"/>
        </w:rPr>
        <w:t>调查数据显示，超半数教职工认为职业院校教职工职业没有优越感，吸引力不足。近六成受访者认为吸引力一般，超三成受访者认为没有吸引力。受访者认为职业院校教职工职业最有吸引力的方面是有寒暑假。但这不属于职业院校教职工独有的特征。近八成教职工不希望子女从事职业院校教职工职业。充分说明了职业院校教职工职业优越感不足。建议教育行政部门和相关部门切实加强宣传，努力提升教职工社会地位，提升教职工职业优越感，吸引人才参与到职业教育中。</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Theme="minorEastAsia" w:hAnsiTheme="minorEastAsia" w:eastAsiaTheme="minorEastAsia" w:cstheme="minorEastAsia"/>
          <w:b/>
          <w:bCs/>
          <w:kern w:val="0"/>
          <w:sz w:val="24"/>
          <w:szCs w:val="24"/>
          <w:lang w:val="en-US" w:eastAsia="zh-CN"/>
        </w:rPr>
      </w:pPr>
      <w:r>
        <w:rPr>
          <w:rFonts w:hint="eastAsia" w:asciiTheme="minorEastAsia" w:hAnsiTheme="minorEastAsia" w:eastAsiaTheme="minorEastAsia" w:cstheme="minorEastAsia"/>
          <w:b/>
          <w:bCs/>
          <w:kern w:val="0"/>
          <w:sz w:val="24"/>
          <w:szCs w:val="24"/>
          <w:lang w:val="en-US" w:eastAsia="zh-CN"/>
        </w:rPr>
        <w:t>6.职业院校教职工薪酬待遇亟待提升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Theme="minorEastAsia" w:hAnsiTheme="minorEastAsia" w:eastAsiaTheme="minorEastAsia" w:cstheme="minorEastAsia"/>
          <w:b w:val="0"/>
          <w:bCs w:val="0"/>
          <w:kern w:val="0"/>
          <w:sz w:val="24"/>
          <w:szCs w:val="24"/>
          <w:lang w:val="en-US" w:eastAsia="zh-CN"/>
        </w:rPr>
      </w:pPr>
      <w:r>
        <w:rPr>
          <w:rFonts w:hint="eastAsia" w:asciiTheme="minorEastAsia" w:hAnsiTheme="minorEastAsia" w:eastAsiaTheme="minorEastAsia" w:cstheme="minorEastAsia"/>
          <w:b w:val="0"/>
          <w:bCs w:val="0"/>
          <w:kern w:val="0"/>
          <w:sz w:val="24"/>
          <w:szCs w:val="24"/>
          <w:lang w:val="en-US" w:eastAsia="zh-CN"/>
        </w:rPr>
        <w:t>从调查数据来看，多数教职工收入水平处于3000元至8000元之间，整体来看，收入水平不高。而新浪网披露的2015年上海秋季人均薪酬8601元，显然大多数教职工达不到上海秋季人均薪酬。近八成教职工认为自己的收入低于认识的同龄人。主观感受上与上海的消费水平也不相称，同时对单位给予的福利待遇也不太满意。所以，我市职业院校教职工薪酬待遇亟待提升，建议有关部门切实提高教职工薪酬待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Theme="minorEastAsia" w:hAnsiTheme="minorEastAsia" w:eastAsiaTheme="minorEastAsia" w:cstheme="minorEastAsia"/>
          <w:b/>
          <w:bCs/>
          <w:kern w:val="0"/>
          <w:sz w:val="24"/>
          <w:szCs w:val="24"/>
          <w:lang w:val="en-US" w:eastAsia="zh-CN"/>
        </w:rPr>
      </w:pPr>
      <w:r>
        <w:rPr>
          <w:rFonts w:hint="eastAsia" w:asciiTheme="minorEastAsia" w:hAnsiTheme="minorEastAsia" w:eastAsiaTheme="minorEastAsia" w:cstheme="minorEastAsia"/>
          <w:b/>
          <w:bCs/>
          <w:kern w:val="0"/>
          <w:sz w:val="24"/>
          <w:szCs w:val="24"/>
          <w:lang w:val="en-US" w:eastAsia="zh-CN"/>
        </w:rPr>
        <w:t>7.职业院校教职工反映诉求的渠道需要拓宽</w:t>
      </w:r>
    </w:p>
    <w:p>
      <w:pPr>
        <w:pageBreakBefore w:val="0"/>
        <w:kinsoku/>
        <w:wordWrap/>
        <w:overflowPunct/>
        <w:topLinePunct w:val="0"/>
        <w:autoSpaceDE/>
        <w:autoSpaceDN/>
        <w:bidi w:val="0"/>
        <w:adjustRightInd/>
        <w:snapToGrid/>
        <w:spacing w:line="240" w:lineRule="auto"/>
        <w:ind w:right="0" w:rightChars="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    超八成受访者认为学校回应教职工诉求的渠道一般或没有渠道，基于此，教职工不会或也不知道该如何反映自身的诉求。从这个角度来看，职业院校建立和拓宽</w:t>
      </w:r>
      <w:r>
        <w:rPr>
          <w:rFonts w:hint="eastAsia" w:asciiTheme="minorEastAsia" w:hAnsiTheme="minorEastAsia" w:eastAsiaTheme="minorEastAsia" w:cstheme="minorEastAsia"/>
          <w:b w:val="0"/>
          <w:bCs w:val="0"/>
          <w:kern w:val="0"/>
          <w:sz w:val="24"/>
          <w:szCs w:val="24"/>
          <w:lang w:val="en-US" w:eastAsia="zh-CN"/>
        </w:rPr>
        <w:t>教职工反映诉求的渠道显得非常有必要。尽可能及时地满足职业院校教职工合理的利益诉求，保障教职工基本的权益，提升职业院校人才培养质量。</w:t>
      </w:r>
    </w:p>
    <w:p>
      <w:pPr>
        <w:pageBreakBefore w:val="0"/>
        <w:kinsoku/>
        <w:wordWrap/>
        <w:overflowPunct/>
        <w:topLinePunct w:val="0"/>
        <w:autoSpaceDE/>
        <w:autoSpaceDN/>
        <w:bidi w:val="0"/>
        <w:adjustRightInd/>
        <w:snapToGrid/>
        <w:spacing w:line="240" w:lineRule="auto"/>
        <w:ind w:right="0" w:rightChars="0"/>
        <w:textAlignment w:val="auto"/>
        <w:rPr>
          <w:rFonts w:hint="eastAsia" w:asciiTheme="minorEastAsia" w:hAnsiTheme="minorEastAsia" w:eastAsiaTheme="minorEastAsia" w:cstheme="minorEastAsia"/>
          <w:sz w:val="24"/>
          <w:szCs w:val="24"/>
        </w:rPr>
      </w:pPr>
    </w:p>
    <w:p>
      <w:pPr>
        <w:pStyle w:val="2"/>
        <w:pageBreakBefore w:val="0"/>
        <w:kinsoku/>
        <w:wordWrap/>
        <w:overflowPunct/>
        <w:topLinePunct w:val="0"/>
        <w:autoSpaceDE/>
        <w:autoSpaceDN/>
        <w:bidi w:val="0"/>
        <w:adjustRightInd/>
        <w:snapToGrid/>
        <w:spacing w:before="0" w:after="0" w:line="240" w:lineRule="auto"/>
        <w:ind w:right="0" w:rightChars="0" w:firstLine="482" w:firstLineChars="200"/>
        <w:textAlignment w:val="auto"/>
        <w:rPr>
          <w:rFonts w:hint="eastAsia" w:asciiTheme="minorEastAsia" w:hAnsiTheme="minorEastAsia" w:eastAsiaTheme="minorEastAsia" w:cstheme="minorEastAsia"/>
          <w:sz w:val="24"/>
          <w:szCs w:val="24"/>
        </w:rPr>
      </w:pPr>
      <w:bookmarkStart w:id="11" w:name="_Toc411199108"/>
      <w:bookmarkStart w:id="12" w:name="_Toc304446409"/>
      <w:r>
        <w:rPr>
          <w:rFonts w:hint="eastAsia" w:asciiTheme="minorEastAsia" w:hAnsiTheme="minorEastAsia" w:eastAsiaTheme="minorEastAsia" w:cstheme="minorEastAsia"/>
          <w:sz w:val="24"/>
          <w:szCs w:val="24"/>
        </w:rPr>
        <w:t>四、</w:t>
      </w:r>
      <w:bookmarkEnd w:id="11"/>
      <w:bookmarkEnd w:id="12"/>
      <w:r>
        <w:rPr>
          <w:rFonts w:hint="eastAsia" w:asciiTheme="minorEastAsia" w:hAnsiTheme="minorEastAsia" w:eastAsiaTheme="minorEastAsia" w:cstheme="minorEastAsia"/>
          <w:sz w:val="24"/>
          <w:szCs w:val="24"/>
          <w:lang w:eastAsia="zh-CN"/>
        </w:rPr>
        <w:t>后续研究重点</w:t>
      </w:r>
    </w:p>
    <w:p>
      <w:pPr>
        <w:pageBreakBefore w:val="0"/>
        <w:kinsoku/>
        <w:wordWrap/>
        <w:overflowPunct/>
        <w:topLinePunct w:val="0"/>
        <w:autoSpaceDE/>
        <w:autoSpaceDN/>
        <w:bidi w:val="0"/>
        <w:adjustRightInd/>
        <w:snapToGrid/>
        <w:spacing w:line="240" w:lineRule="auto"/>
        <w:ind w:right="0" w:rightChars="0" w:firstLine="560" w:firstLineChars="200"/>
        <w:textAlignment w:val="auto"/>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b w:val="0"/>
          <w:bCs w:val="0"/>
          <w:kern w:val="0"/>
          <w:sz w:val="24"/>
          <w:szCs w:val="24"/>
          <w:lang w:eastAsia="zh-CN"/>
        </w:rPr>
        <w:t>以调研数据为基础</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lang w:eastAsia="zh-CN"/>
        </w:rPr>
        <w:t>深度挖掘调研数据，对数据进行交叉分析，相关性分析，为提升我市职业院校教职工状况与诉求提出进一步建议。同时</w:t>
      </w:r>
      <w:r>
        <w:rPr>
          <w:rFonts w:hint="eastAsia" w:asciiTheme="minorEastAsia" w:hAnsiTheme="minorEastAsia" w:eastAsiaTheme="minorEastAsia" w:cstheme="minorEastAsia"/>
          <w:kern w:val="0"/>
          <w:sz w:val="24"/>
          <w:szCs w:val="24"/>
        </w:rPr>
        <w:t>再公开发表论文</w:t>
      </w:r>
      <w:r>
        <w:rPr>
          <w:rFonts w:hint="eastAsia" w:asciiTheme="minorEastAsia" w:hAnsiTheme="minorEastAsia" w:eastAsiaTheme="minorEastAsia" w:cstheme="minorEastAsia"/>
          <w:kern w:val="0"/>
          <w:sz w:val="24"/>
          <w:szCs w:val="24"/>
          <w:lang w:val="en-US" w:eastAsia="zh-CN"/>
        </w:rPr>
        <w:t>1</w:t>
      </w:r>
      <w:r>
        <w:rPr>
          <w:rFonts w:hint="eastAsia" w:asciiTheme="minorEastAsia" w:hAnsiTheme="minorEastAsia" w:eastAsiaTheme="minorEastAsia" w:cstheme="minorEastAsia"/>
          <w:kern w:val="0"/>
          <w:sz w:val="24"/>
          <w:szCs w:val="24"/>
        </w:rPr>
        <w:t>篇，论文内容紧密围绕上海职业院校教职工状况和诉求展开，</w:t>
      </w:r>
      <w:r>
        <w:rPr>
          <w:rFonts w:hint="eastAsia" w:asciiTheme="minorEastAsia" w:hAnsiTheme="minorEastAsia" w:eastAsiaTheme="minorEastAsia" w:cstheme="minorEastAsia"/>
          <w:kern w:val="0"/>
          <w:sz w:val="24"/>
          <w:szCs w:val="24"/>
          <w:lang w:eastAsia="zh-CN"/>
        </w:rPr>
        <w:t>扩大本研究的社会影响力。</w:t>
      </w:r>
    </w:p>
    <w:p>
      <w:pPr>
        <w:spacing w:line="360" w:lineRule="auto"/>
        <w:ind w:firstLine="482" w:firstLineChars="200"/>
        <w:jc w:val="left"/>
        <w:rPr>
          <w:rFonts w:hint="eastAsia" w:ascii="宋体" w:hAnsi="宋体" w:cs="宋体"/>
          <w:b/>
          <w:sz w:val="24"/>
          <w:szCs w:val="24"/>
        </w:rPr>
      </w:pPr>
    </w:p>
    <w:p>
      <w:pPr>
        <w:spacing w:line="360" w:lineRule="auto"/>
        <w:jc w:val="left"/>
        <w:rPr>
          <w:rFonts w:ascii="宋体" w:hAnsi="宋体" w:cs="宋体"/>
          <w:b/>
          <w:sz w:val="24"/>
          <w:szCs w:val="24"/>
        </w:rPr>
      </w:pPr>
      <w:r>
        <w:rPr>
          <w:rFonts w:hint="eastAsia" w:ascii="宋体" w:hAnsi="宋体" w:cs="宋体"/>
          <w:b/>
          <w:sz w:val="24"/>
          <w:szCs w:val="24"/>
          <w:lang w:val="en-US" w:eastAsia="zh-CN"/>
        </w:rPr>
        <w:t xml:space="preserve">    </w:t>
      </w:r>
      <w:r>
        <w:rPr>
          <w:rFonts w:hint="eastAsia" w:ascii="宋体" w:hAnsi="宋体" w:cs="宋体"/>
          <w:b/>
          <w:sz w:val="24"/>
          <w:szCs w:val="24"/>
        </w:rPr>
        <w:t>主要参考文献：</w:t>
      </w:r>
    </w:p>
    <w:p>
      <w:pPr>
        <w:keepNext w:val="0"/>
        <w:keepLines w:val="0"/>
        <w:pageBreakBefore w:val="0"/>
        <w:kinsoku/>
        <w:wordWrap/>
        <w:overflowPunct/>
        <w:topLinePunct w:val="0"/>
        <w:bidi w:val="0"/>
        <w:snapToGrid/>
        <w:spacing w:line="240" w:lineRule="auto"/>
        <w:ind w:left="0" w:leftChars="0" w:right="0" w:rightChars="0" w:firstLine="420" w:firstLineChars="200"/>
        <w:jc w:val="left"/>
        <w:textAlignment w:val="auto"/>
        <w:outlineLvl w:val="9"/>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赵怀娟, 韩斌,王义芳,吴春玲. 安徽师范大学女教职工状况调查与分析[J] 安徽师范大学学报（人文社会科学版）, 2006年11月</w:t>
      </w:r>
    </w:p>
    <w:p>
      <w:pPr>
        <w:keepNext w:val="0"/>
        <w:keepLines w:val="0"/>
        <w:pageBreakBefore w:val="0"/>
        <w:kinsoku/>
        <w:wordWrap/>
        <w:overflowPunct/>
        <w:topLinePunct w:val="0"/>
        <w:bidi w:val="0"/>
        <w:snapToGrid/>
        <w:spacing w:line="240" w:lineRule="auto"/>
        <w:ind w:left="0" w:leftChars="0" w:right="0" w:rightChars="0" w:firstLine="420" w:firstLineChars="200"/>
        <w:jc w:val="left"/>
        <w:textAlignment w:val="auto"/>
        <w:outlineLvl w:val="9"/>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何丽清,梁新明,万丽丽. 高校女教职工状况调查与思考[J].赣鄱教工 2011年Z2期</w:t>
      </w:r>
    </w:p>
    <w:p>
      <w:pPr>
        <w:keepNext w:val="0"/>
        <w:keepLines w:val="0"/>
        <w:pageBreakBefore w:val="0"/>
        <w:kinsoku/>
        <w:wordWrap/>
        <w:overflowPunct/>
        <w:topLinePunct w:val="0"/>
        <w:bidi w:val="0"/>
        <w:snapToGrid/>
        <w:spacing w:line="240" w:lineRule="auto"/>
        <w:ind w:left="0" w:leftChars="0" w:right="0" w:rightChars="0" w:firstLine="420" w:firstLineChars="200"/>
        <w:jc w:val="left"/>
        <w:textAlignment w:val="auto"/>
        <w:outlineLvl w:val="9"/>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张婷. 南京市某髙校教职工健康状况调查及影响因素分析[D]</w:t>
      </w:r>
      <w:r>
        <w:rPr>
          <w:rFonts w:hint="eastAsia" w:ascii="宋体" w:hAnsi="宋体" w:cs="宋体"/>
          <w:sz w:val="21"/>
          <w:szCs w:val="21"/>
          <w:lang w:val="en-US" w:eastAsia="zh-CN"/>
        </w:rPr>
        <w:t>.</w:t>
      </w:r>
      <w:r>
        <w:rPr>
          <w:rFonts w:hint="eastAsia" w:ascii="宋体" w:hAnsi="宋体" w:eastAsia="宋体" w:cs="宋体"/>
          <w:sz w:val="21"/>
          <w:szCs w:val="21"/>
        </w:rPr>
        <w:t>东南大学2015</w:t>
      </w:r>
    </w:p>
    <w:p>
      <w:pPr>
        <w:keepNext w:val="0"/>
        <w:keepLines w:val="0"/>
        <w:pageBreakBefore w:val="0"/>
        <w:kinsoku/>
        <w:wordWrap/>
        <w:overflowPunct/>
        <w:topLinePunct w:val="0"/>
        <w:bidi w:val="0"/>
        <w:snapToGrid/>
        <w:spacing w:line="240" w:lineRule="auto"/>
        <w:ind w:left="0" w:leftChars="0" w:right="0" w:rightChars="0" w:firstLine="420" w:firstLineChars="200"/>
        <w:jc w:val="left"/>
        <w:textAlignment w:val="auto"/>
        <w:outlineLvl w:val="9"/>
        <w:rPr>
          <w:rFonts w:hint="eastAsia" w:ascii="宋体" w:hAnsi="宋体" w:eastAsia="宋体" w:cs="宋体"/>
          <w:sz w:val="21"/>
          <w:szCs w:val="21"/>
        </w:rPr>
      </w:pPr>
      <w:r>
        <w:rPr>
          <w:rFonts w:hint="eastAsia" w:ascii="宋体" w:hAnsi="宋体" w:eastAsia="宋体" w:cs="宋体"/>
          <w:sz w:val="21"/>
          <w:szCs w:val="21"/>
          <w:lang w:val="en-US" w:eastAsia="zh-CN"/>
        </w:rPr>
        <w:t>4.</w:t>
      </w:r>
      <w:r>
        <w:rPr>
          <w:rFonts w:hint="eastAsia" w:ascii="宋体" w:hAnsi="宋体" w:eastAsia="宋体" w:cs="宋体"/>
          <w:sz w:val="21"/>
          <w:szCs w:val="21"/>
        </w:rPr>
        <w:t>刘经纬,陈文慧,王志新.高校教职工思想状况分析及对策[J]. 思想政治教育研究, 2005年第1期</w:t>
      </w:r>
    </w:p>
    <w:p>
      <w:pPr>
        <w:keepNext w:val="0"/>
        <w:keepLines w:val="0"/>
        <w:pageBreakBefore w:val="0"/>
        <w:kinsoku/>
        <w:wordWrap/>
        <w:overflowPunct/>
        <w:topLinePunct w:val="0"/>
        <w:bidi w:val="0"/>
        <w:snapToGrid/>
        <w:spacing w:line="240" w:lineRule="auto"/>
        <w:ind w:left="0" w:leftChars="0" w:right="0" w:rightChars="0" w:firstLine="420" w:firstLineChars="200"/>
        <w:jc w:val="left"/>
        <w:textAlignment w:val="auto"/>
        <w:outlineLvl w:val="9"/>
        <w:rPr>
          <w:rFonts w:hint="eastAsia" w:ascii="宋体" w:hAnsi="宋体" w:eastAsia="宋体" w:cs="宋体"/>
          <w:sz w:val="21"/>
          <w:szCs w:val="21"/>
        </w:rPr>
      </w:pPr>
      <w:r>
        <w:rPr>
          <w:rFonts w:hint="eastAsia" w:ascii="宋体" w:hAnsi="宋体" w:eastAsia="宋体" w:cs="宋体"/>
          <w:sz w:val="21"/>
          <w:szCs w:val="21"/>
          <w:lang w:val="en-US" w:eastAsia="zh-CN"/>
        </w:rPr>
        <w:t>5.</w:t>
      </w:r>
      <w:r>
        <w:rPr>
          <w:rFonts w:hint="eastAsia" w:ascii="宋体" w:hAnsi="宋体" w:eastAsia="宋体" w:cs="宋体"/>
          <w:sz w:val="21"/>
          <w:szCs w:val="21"/>
        </w:rPr>
        <w:t>HolgateStephenT,KomaroffAnthonyL,ManganDennis,etal.Chronicfatiguesyndrome:understandingacomplexillness.[J].Nature Reviews.Neuroscience,2011,129.</w:t>
      </w:r>
    </w:p>
    <w:p>
      <w:pPr>
        <w:keepNext w:val="0"/>
        <w:keepLines w:val="0"/>
        <w:pageBreakBefore w:val="0"/>
        <w:kinsoku/>
        <w:wordWrap/>
        <w:overflowPunct/>
        <w:topLinePunct w:val="0"/>
        <w:bidi w:val="0"/>
        <w:snapToGrid/>
        <w:spacing w:line="240" w:lineRule="auto"/>
        <w:ind w:left="0" w:leftChars="0" w:right="0" w:rightChars="0" w:firstLine="420" w:firstLineChars="200"/>
        <w:jc w:val="left"/>
        <w:textAlignment w:val="auto"/>
        <w:outlineLvl w:val="9"/>
        <w:rPr>
          <w:rFonts w:hint="eastAsia" w:ascii="宋体" w:hAnsi="宋体" w:eastAsia="宋体" w:cs="宋体"/>
          <w:sz w:val="21"/>
          <w:szCs w:val="21"/>
        </w:rPr>
      </w:pPr>
      <w:r>
        <w:rPr>
          <w:rFonts w:hint="eastAsia" w:ascii="宋体" w:hAnsi="宋体" w:eastAsia="宋体" w:cs="宋体"/>
          <w:sz w:val="21"/>
          <w:szCs w:val="21"/>
          <w:lang w:val="en-US" w:eastAsia="zh-CN"/>
        </w:rPr>
        <w:t>6.</w:t>
      </w:r>
      <w:r>
        <w:rPr>
          <w:rFonts w:hint="eastAsia" w:ascii="宋体" w:hAnsi="宋体" w:eastAsia="宋体" w:cs="宋体"/>
          <w:sz w:val="21"/>
          <w:szCs w:val="21"/>
        </w:rPr>
        <w:t>朱宪, 胡梅, 彭晓霞,侯婕, 忻平. 北京某高校教职工健康状况调查和分析［J］首都医科大学学报 2012年6月第33卷第3期</w:t>
      </w:r>
    </w:p>
    <w:p>
      <w:pPr>
        <w:keepNext w:val="0"/>
        <w:keepLines w:val="0"/>
        <w:pageBreakBefore w:val="0"/>
        <w:kinsoku/>
        <w:wordWrap/>
        <w:overflowPunct/>
        <w:topLinePunct w:val="0"/>
        <w:bidi w:val="0"/>
        <w:snapToGrid/>
        <w:spacing w:line="240" w:lineRule="auto"/>
        <w:ind w:left="0" w:leftChars="0" w:right="0" w:rightChars="0" w:firstLine="420" w:firstLineChars="200"/>
        <w:jc w:val="left"/>
        <w:textAlignment w:val="auto"/>
        <w:outlineLvl w:val="9"/>
        <w:rPr>
          <w:rFonts w:hint="eastAsia" w:ascii="宋体" w:hAnsi="宋体" w:eastAsia="宋体" w:cs="宋体"/>
          <w:sz w:val="21"/>
          <w:szCs w:val="21"/>
        </w:rPr>
      </w:pPr>
      <w:r>
        <w:rPr>
          <w:rFonts w:hint="eastAsia" w:ascii="宋体" w:hAnsi="宋体" w:eastAsia="宋体" w:cs="宋体"/>
          <w:sz w:val="21"/>
          <w:szCs w:val="21"/>
          <w:lang w:val="en-US" w:eastAsia="zh-CN"/>
        </w:rPr>
        <w:t>7.</w:t>
      </w:r>
      <w:r>
        <w:rPr>
          <w:rFonts w:hint="eastAsia" w:ascii="宋体" w:hAnsi="宋体" w:eastAsia="宋体" w:cs="宋体"/>
          <w:sz w:val="21"/>
          <w:szCs w:val="21"/>
        </w:rPr>
        <w:t>李志荣.江苏省高校教职工健康状况与体育生活方式的调查研究[D],苏州大学2008年3月</w:t>
      </w:r>
    </w:p>
    <w:p>
      <w:pPr>
        <w:keepNext w:val="0"/>
        <w:keepLines w:val="0"/>
        <w:pageBreakBefore w:val="0"/>
        <w:kinsoku/>
        <w:wordWrap/>
        <w:overflowPunct/>
        <w:topLinePunct w:val="0"/>
        <w:bidi w:val="0"/>
        <w:snapToGrid/>
        <w:spacing w:line="240" w:lineRule="auto"/>
        <w:ind w:left="0" w:leftChars="0" w:right="0" w:rightChars="0"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于威,李敏,吕凤萍.高校教师健康体检1246例结果分析[J].中国误诊学杂志,2008,11:27.</w:t>
      </w:r>
    </w:p>
    <w:p>
      <w:pPr>
        <w:keepNext w:val="0"/>
        <w:keepLines w:val="0"/>
        <w:pageBreakBefore w:val="0"/>
        <w:kinsoku/>
        <w:wordWrap/>
        <w:overflowPunct/>
        <w:topLinePunct w:val="0"/>
        <w:bidi w:val="0"/>
        <w:snapToGrid/>
        <w:spacing w:line="240" w:lineRule="auto"/>
        <w:ind w:left="0" w:leftChars="0" w:right="0" w:rightChars="0"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辛青.某高校教职工健康状况及影响因素研究[D].山东大学,2011.</w:t>
      </w:r>
    </w:p>
    <w:p>
      <w:pPr>
        <w:keepNext w:val="0"/>
        <w:keepLines w:val="0"/>
        <w:pageBreakBefore w:val="0"/>
        <w:kinsoku/>
        <w:wordWrap/>
        <w:overflowPunct/>
        <w:topLinePunct w:val="0"/>
        <w:bidi w:val="0"/>
        <w:snapToGrid/>
        <w:spacing w:line="240" w:lineRule="auto"/>
        <w:ind w:left="0" w:leftChars="0" w:right="0" w:rightChars="0"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lang w:val="en-US" w:eastAsia="zh-CN"/>
        </w:rPr>
        <w:t>10.</w:t>
      </w:r>
      <w:r>
        <w:rPr>
          <w:rFonts w:hint="eastAsia" w:ascii="宋体" w:hAnsi="宋体" w:eastAsia="宋体" w:cs="宋体"/>
          <w:sz w:val="21"/>
          <w:szCs w:val="21"/>
        </w:rPr>
        <w:t>张凤梅,徐恒戬.某高校教职工健康状况分析［J］</w:t>
      </w:r>
      <w:r>
        <w:rPr>
          <w:rFonts w:hint="eastAsia" w:ascii="宋体" w:hAnsi="宋体" w:cs="宋体"/>
          <w:sz w:val="21"/>
          <w:szCs w:val="21"/>
          <w:lang w:val="en-US" w:eastAsia="zh-CN"/>
        </w:rPr>
        <w:t>.</w:t>
      </w:r>
      <w:r>
        <w:rPr>
          <w:rFonts w:hint="eastAsia" w:ascii="宋体" w:hAnsi="宋体" w:eastAsia="宋体" w:cs="宋体"/>
          <w:sz w:val="21"/>
          <w:szCs w:val="21"/>
        </w:rPr>
        <w:t>现代预防医学， 2009年第36卷第1期</w:t>
      </w:r>
    </w:p>
    <w:p>
      <w:pPr>
        <w:keepNext w:val="0"/>
        <w:keepLines w:val="0"/>
        <w:pageBreakBefore w:val="0"/>
        <w:kinsoku/>
        <w:wordWrap/>
        <w:overflowPunct/>
        <w:topLinePunct w:val="0"/>
        <w:bidi w:val="0"/>
        <w:snapToGrid/>
        <w:spacing w:line="240" w:lineRule="auto"/>
        <w:ind w:left="0" w:leftChars="0" w:right="0" w:rightChars="0"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lang w:val="en-US" w:eastAsia="zh-CN"/>
        </w:rPr>
        <w:t>11.</w:t>
      </w:r>
      <w:r>
        <w:rPr>
          <w:rFonts w:hint="eastAsia" w:ascii="宋体" w:hAnsi="宋体" w:eastAsia="宋体" w:cs="宋体"/>
          <w:sz w:val="21"/>
          <w:szCs w:val="21"/>
        </w:rPr>
        <w:t>吴凤起,体育生活方式与健康[J] 体育与科学, 2001,24（9）:36-37）</w:t>
      </w:r>
    </w:p>
    <w:p>
      <w:pPr>
        <w:keepNext w:val="0"/>
        <w:keepLines w:val="0"/>
        <w:pageBreakBefore w:val="0"/>
        <w:widowControl/>
        <w:kinsoku/>
        <w:wordWrap/>
        <w:overflowPunct/>
        <w:topLinePunct w:val="0"/>
        <w:autoSpaceDE w:val="0"/>
        <w:autoSpaceDN w:val="0"/>
        <w:bidi w:val="0"/>
        <w:adjustRightInd w:val="0"/>
        <w:snapToGrid/>
        <w:spacing w:line="240" w:lineRule="auto"/>
        <w:ind w:left="0" w:leftChars="0" w:right="0" w:rightChars="0" w:firstLine="420" w:firstLineChars="200"/>
        <w:jc w:val="left"/>
        <w:textAlignment w:val="auto"/>
        <w:outlineLvl w:val="9"/>
        <w:rPr>
          <w:rFonts w:hint="eastAsia" w:ascii="宋体" w:hAnsi="宋体" w:eastAsia="宋体" w:cs="宋体"/>
          <w:color w:val="000000"/>
          <w:sz w:val="21"/>
          <w:szCs w:val="21"/>
        </w:rPr>
      </w:pPr>
      <w:r>
        <w:rPr>
          <w:rFonts w:hint="eastAsia" w:ascii="宋体" w:hAnsi="宋体" w:eastAsia="宋体" w:cs="宋体"/>
          <w:sz w:val="21"/>
          <w:szCs w:val="21"/>
          <w:lang w:val="en-US" w:eastAsia="zh-CN"/>
        </w:rPr>
        <w:t>12.</w:t>
      </w:r>
      <w:r>
        <w:rPr>
          <w:rFonts w:hint="eastAsia" w:ascii="宋体" w:hAnsi="宋体" w:eastAsia="宋体" w:cs="宋体"/>
          <w:color w:val="000000"/>
          <w:sz w:val="21"/>
          <w:szCs w:val="21"/>
        </w:rPr>
        <w:t>周君华, 潘合祺. 鲁东大学教职工健康状况、生活方式与体育锻炼的调查分析[J] ,鲁东大学学报（自然科学版）,2007,23（4）:380-384</w:t>
      </w:r>
    </w:p>
    <w:p>
      <w:pPr>
        <w:keepNext w:val="0"/>
        <w:keepLines w:val="0"/>
        <w:pageBreakBefore w:val="0"/>
        <w:widowControl/>
        <w:kinsoku/>
        <w:wordWrap/>
        <w:overflowPunct/>
        <w:topLinePunct w:val="0"/>
        <w:autoSpaceDE w:val="0"/>
        <w:autoSpaceDN w:val="0"/>
        <w:bidi w:val="0"/>
        <w:adjustRightInd w:val="0"/>
        <w:snapToGrid/>
        <w:spacing w:line="240" w:lineRule="auto"/>
        <w:ind w:left="0" w:leftChars="0" w:right="0" w:rightChars="0" w:firstLine="420" w:firstLineChars="200"/>
        <w:jc w:val="left"/>
        <w:textAlignment w:val="auto"/>
        <w:outlineLvl w:val="9"/>
        <w:rPr>
          <w:rFonts w:hint="eastAsia" w:ascii="宋体" w:hAnsi="宋体" w:eastAsia="宋体" w:cs="宋体"/>
          <w:sz w:val="21"/>
          <w:szCs w:val="21"/>
        </w:rPr>
      </w:pPr>
      <w:r>
        <w:rPr>
          <w:rFonts w:hint="eastAsia" w:ascii="宋体" w:hAnsi="宋体" w:eastAsia="宋体" w:cs="宋体"/>
          <w:color w:val="000000"/>
          <w:sz w:val="21"/>
          <w:szCs w:val="21"/>
          <w:lang w:val="en-US" w:eastAsia="zh-CN"/>
        </w:rPr>
        <w:t>13.</w:t>
      </w:r>
      <w:r>
        <w:rPr>
          <w:rFonts w:hint="eastAsia" w:ascii="宋体" w:hAnsi="宋体" w:eastAsia="宋体" w:cs="宋体"/>
          <w:sz w:val="21"/>
          <w:szCs w:val="21"/>
        </w:rPr>
        <w:t>宋小兰，宋全德. 高校教职工党员思想状况调查与分析[J], 四川师范学院学报（哲学社会科学版）,2000年11月</w:t>
      </w:r>
    </w:p>
    <w:p>
      <w:pPr>
        <w:keepNext w:val="0"/>
        <w:keepLines w:val="0"/>
        <w:pageBreakBefore w:val="0"/>
        <w:widowControl/>
        <w:kinsoku/>
        <w:wordWrap/>
        <w:overflowPunct/>
        <w:topLinePunct w:val="0"/>
        <w:autoSpaceDE w:val="0"/>
        <w:autoSpaceDN w:val="0"/>
        <w:bidi w:val="0"/>
        <w:adjustRightInd w:val="0"/>
        <w:snapToGrid/>
        <w:spacing w:line="240" w:lineRule="auto"/>
        <w:ind w:left="0" w:leftChars="0" w:right="0" w:rightChars="0" w:firstLine="420" w:firstLineChars="200"/>
        <w:jc w:val="left"/>
        <w:textAlignment w:val="auto"/>
        <w:outlineLvl w:val="9"/>
        <w:rPr>
          <w:rFonts w:hint="eastAsia" w:ascii="宋体" w:hAnsi="宋体" w:eastAsia="宋体" w:cs="宋体"/>
          <w:sz w:val="21"/>
          <w:szCs w:val="21"/>
        </w:rPr>
      </w:pPr>
      <w:r>
        <w:rPr>
          <w:rFonts w:hint="eastAsia" w:ascii="宋体" w:hAnsi="宋体" w:eastAsia="宋体" w:cs="宋体"/>
          <w:sz w:val="21"/>
          <w:szCs w:val="21"/>
          <w:lang w:val="en-US" w:eastAsia="zh-CN"/>
        </w:rPr>
        <w:t>14.</w:t>
      </w:r>
      <w:r>
        <w:rPr>
          <w:rFonts w:hint="eastAsia" w:ascii="宋体" w:hAnsi="宋体" w:eastAsia="宋体" w:cs="宋体"/>
          <w:sz w:val="21"/>
          <w:szCs w:val="21"/>
        </w:rPr>
        <w:t>西安航专校工会. 青年教职工状况调查报告[J],西安航空技术高等专科学校学报,2000年12月</w:t>
      </w:r>
    </w:p>
    <w:p>
      <w:pPr>
        <w:keepNext w:val="0"/>
        <w:keepLines w:val="0"/>
        <w:pageBreakBefore w:val="0"/>
        <w:kinsoku/>
        <w:wordWrap/>
        <w:overflowPunct/>
        <w:topLinePunct w:val="0"/>
        <w:bidi w:val="0"/>
        <w:snapToGrid/>
        <w:spacing w:line="240" w:lineRule="auto"/>
        <w:ind w:left="0" w:leftChars="0" w:right="0" w:rightChars="0" w:firstLine="420" w:firstLineChars="200"/>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15.</w:t>
      </w:r>
      <w:r>
        <w:rPr>
          <w:rFonts w:hint="eastAsia" w:ascii="宋体" w:hAnsi="宋体" w:eastAsia="宋体" w:cs="宋体"/>
          <w:color w:val="000000"/>
          <w:sz w:val="21"/>
          <w:szCs w:val="21"/>
        </w:rPr>
        <w:t>傅国光.建立教职工利益诉求机制与构建和谐校园［J］.工会论坛, 2012年11月</w:t>
      </w:r>
    </w:p>
    <w:p>
      <w:pPr>
        <w:keepNext w:val="0"/>
        <w:keepLines w:val="0"/>
        <w:pageBreakBefore w:val="0"/>
        <w:widowControl/>
        <w:kinsoku/>
        <w:wordWrap/>
        <w:overflowPunct/>
        <w:topLinePunct w:val="0"/>
        <w:autoSpaceDE w:val="0"/>
        <w:autoSpaceDN w:val="0"/>
        <w:bidi w:val="0"/>
        <w:adjustRightInd w:val="0"/>
        <w:snapToGrid/>
        <w:spacing w:line="240" w:lineRule="auto"/>
        <w:ind w:left="0" w:leftChars="0" w:right="0" w:rightChars="0" w:firstLine="420" w:firstLineChars="200"/>
        <w:jc w:val="left"/>
        <w:textAlignment w:val="auto"/>
        <w:outlineLvl w:val="9"/>
        <w:rPr>
          <w:rFonts w:hint="eastAsia" w:ascii="宋体" w:hAnsi="宋体" w:eastAsia="宋体" w:cs="宋体"/>
          <w:sz w:val="21"/>
          <w:szCs w:val="21"/>
        </w:rPr>
      </w:pPr>
      <w:r>
        <w:rPr>
          <w:rFonts w:hint="eastAsia" w:ascii="宋体" w:hAnsi="宋体" w:eastAsia="宋体" w:cs="宋体"/>
          <w:sz w:val="21"/>
          <w:szCs w:val="21"/>
          <w:lang w:val="en-US" w:eastAsia="zh-CN"/>
        </w:rPr>
        <w:t>16.</w:t>
      </w:r>
      <w:r>
        <w:rPr>
          <w:rFonts w:hint="eastAsia" w:ascii="宋体" w:hAnsi="宋体" w:eastAsia="宋体" w:cs="宋体"/>
          <w:sz w:val="21"/>
          <w:szCs w:val="21"/>
        </w:rPr>
        <w:t xml:space="preserve">李宪伦,谭福开,周秉先,陈树春,宋海霞.广西工学院教职工思想政治状况的调查与启示[J], 高教论坛, 2002年10月第5期  </w:t>
      </w:r>
    </w:p>
    <w:p>
      <w:pPr>
        <w:keepNext w:val="0"/>
        <w:keepLines w:val="0"/>
        <w:pageBreakBefore w:val="0"/>
        <w:widowControl/>
        <w:kinsoku/>
        <w:wordWrap/>
        <w:overflowPunct/>
        <w:topLinePunct w:val="0"/>
        <w:autoSpaceDE w:val="0"/>
        <w:autoSpaceDN w:val="0"/>
        <w:bidi w:val="0"/>
        <w:adjustRightInd w:val="0"/>
        <w:snapToGrid/>
        <w:spacing w:line="240" w:lineRule="auto"/>
        <w:ind w:left="0" w:leftChars="0" w:right="0" w:rightChars="0" w:firstLine="420" w:firstLineChars="200"/>
        <w:jc w:val="left"/>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17.http://sh.sina.com.cn/news/economy/2015-11-26/detail-ifxmazmy2087678.shtml</w:t>
      </w:r>
    </w:p>
    <w:p>
      <w:pPr>
        <w:keepNext w:val="0"/>
        <w:keepLines w:val="0"/>
        <w:pageBreakBefore w:val="0"/>
        <w:widowControl/>
        <w:kinsoku/>
        <w:wordWrap/>
        <w:overflowPunct/>
        <w:topLinePunct w:val="0"/>
        <w:autoSpaceDE w:val="0"/>
        <w:autoSpaceDN w:val="0"/>
        <w:bidi w:val="0"/>
        <w:adjustRightInd w:val="0"/>
        <w:snapToGrid/>
        <w:spacing w:line="240" w:lineRule="auto"/>
        <w:ind w:left="0" w:leftChars="0" w:right="0" w:rightChars="0" w:firstLine="0" w:firstLineChars="0"/>
        <w:jc w:val="left"/>
        <w:textAlignment w:val="auto"/>
        <w:outlineLvl w:val="9"/>
        <w:rPr>
          <w:rFonts w:hint="eastAsia" w:ascii="宋体" w:hAnsi="宋体" w:eastAsia="宋体" w:cs="宋体"/>
          <w:sz w:val="21"/>
          <w:szCs w:val="21"/>
          <w:lang w:val="en-US" w:eastAsia="zh-CN"/>
        </w:rPr>
      </w:pPr>
    </w:p>
    <w:p>
      <w:pPr>
        <w:keepNext w:val="0"/>
        <w:keepLines w:val="0"/>
        <w:pageBreakBefore w:val="0"/>
        <w:widowControl/>
        <w:kinsoku/>
        <w:wordWrap/>
        <w:overflowPunct/>
        <w:topLinePunct w:val="0"/>
        <w:autoSpaceDE w:val="0"/>
        <w:autoSpaceDN w:val="0"/>
        <w:bidi w:val="0"/>
        <w:adjustRightInd w:val="0"/>
        <w:snapToGrid/>
        <w:spacing w:line="240" w:lineRule="auto"/>
        <w:ind w:left="0" w:leftChars="0" w:right="0" w:rightChars="0" w:firstLine="480" w:firstLineChars="200"/>
        <w:jc w:val="left"/>
        <w:textAlignment w:val="auto"/>
        <w:outlineLvl w:val="9"/>
        <w:rPr>
          <w:rFonts w:hint="eastAsia" w:ascii="宋体" w:hAnsi="宋体" w:cs="宋体"/>
          <w:sz w:val="24"/>
          <w:szCs w:val="24"/>
          <w:lang w:val="en-US" w:eastAsia="zh-CN"/>
        </w:rPr>
      </w:pPr>
      <w:r>
        <w:rPr>
          <w:rFonts w:hint="eastAsia" w:ascii="宋体" w:hAnsi="宋体" w:cs="宋体"/>
          <w:sz w:val="24"/>
          <w:szCs w:val="24"/>
          <w:lang w:val="en-US" w:eastAsia="zh-CN"/>
        </w:rPr>
        <w:t>执笔人：刘磊，上海市教育评估院项目主管，助理研究员</w:t>
      </w:r>
    </w:p>
    <w:p>
      <w:pPr>
        <w:keepNext w:val="0"/>
        <w:keepLines w:val="0"/>
        <w:pageBreakBefore w:val="0"/>
        <w:widowControl/>
        <w:kinsoku/>
        <w:wordWrap/>
        <w:overflowPunct/>
        <w:topLinePunct w:val="0"/>
        <w:autoSpaceDE w:val="0"/>
        <w:autoSpaceDN w:val="0"/>
        <w:bidi w:val="0"/>
        <w:adjustRightInd w:val="0"/>
        <w:snapToGrid/>
        <w:spacing w:line="240" w:lineRule="auto"/>
        <w:ind w:left="0" w:leftChars="0" w:right="0" w:rightChars="0" w:firstLine="480" w:firstLineChars="200"/>
        <w:jc w:val="left"/>
        <w:textAlignment w:val="auto"/>
        <w:outlineLvl w:val="9"/>
        <w:rPr>
          <w:rFonts w:hint="eastAsia" w:ascii="宋体" w:hAnsi="宋体" w:cs="宋体"/>
          <w:sz w:val="24"/>
          <w:szCs w:val="24"/>
          <w:lang w:val="en-US" w:eastAsia="zh-CN"/>
        </w:rPr>
      </w:pPr>
      <w:r>
        <w:rPr>
          <w:rFonts w:hint="eastAsia" w:ascii="宋体" w:hAnsi="宋体" w:cs="宋体"/>
          <w:sz w:val="24"/>
          <w:szCs w:val="24"/>
          <w:lang w:val="en-US" w:eastAsia="zh-CN"/>
        </w:rPr>
        <w:t>形成时间：2016年12月</w:t>
      </w:r>
    </w:p>
    <w:p>
      <w:pPr>
        <w:keepNext w:val="0"/>
        <w:keepLines w:val="0"/>
        <w:pageBreakBefore w:val="0"/>
        <w:widowControl/>
        <w:kinsoku/>
        <w:wordWrap/>
        <w:overflowPunct/>
        <w:topLinePunct w:val="0"/>
        <w:autoSpaceDE w:val="0"/>
        <w:autoSpaceDN w:val="0"/>
        <w:bidi w:val="0"/>
        <w:adjustRightInd w:val="0"/>
        <w:snapToGrid/>
        <w:spacing w:line="240" w:lineRule="auto"/>
        <w:ind w:left="0" w:leftChars="0" w:right="0" w:rightChars="0" w:firstLine="480" w:firstLineChars="200"/>
        <w:jc w:val="left"/>
        <w:textAlignment w:val="auto"/>
        <w:outlineLvl w:val="9"/>
        <w:rPr>
          <w:rFonts w:hint="eastAsia" w:ascii="宋体" w:hAnsi="宋体" w:cs="宋体"/>
          <w:sz w:val="24"/>
          <w:szCs w:val="24"/>
          <w:lang w:val="en-US" w:eastAsia="zh-CN"/>
        </w:rPr>
      </w:pPr>
      <w:r>
        <w:rPr>
          <w:rFonts w:hint="eastAsia" w:ascii="宋体" w:hAnsi="宋体" w:cs="宋体"/>
          <w:sz w:val="24"/>
          <w:szCs w:val="24"/>
          <w:lang w:val="en-US" w:eastAsia="zh-CN"/>
        </w:rPr>
        <w:t>通讯地址：陕西南路202号2号楼304室，邮编：200031</w:t>
      </w:r>
    </w:p>
    <w:p>
      <w:pPr>
        <w:keepNext w:val="0"/>
        <w:keepLines w:val="0"/>
        <w:pageBreakBefore w:val="0"/>
        <w:widowControl/>
        <w:kinsoku/>
        <w:wordWrap/>
        <w:overflowPunct/>
        <w:topLinePunct w:val="0"/>
        <w:autoSpaceDE w:val="0"/>
        <w:autoSpaceDN w:val="0"/>
        <w:bidi w:val="0"/>
        <w:adjustRightInd w:val="0"/>
        <w:snapToGrid/>
        <w:spacing w:line="240" w:lineRule="auto"/>
        <w:ind w:left="0" w:leftChars="0" w:right="0" w:rightChars="0" w:firstLine="480" w:firstLineChars="200"/>
        <w:jc w:val="left"/>
        <w:textAlignment w:val="auto"/>
        <w:outlineLvl w:val="9"/>
        <w:rPr>
          <w:rFonts w:hint="eastAsia" w:ascii="宋体" w:hAnsi="宋体" w:cs="宋体"/>
          <w:sz w:val="24"/>
          <w:szCs w:val="24"/>
          <w:lang w:val="en-US" w:eastAsia="zh-CN"/>
        </w:rPr>
      </w:pPr>
      <w:r>
        <w:rPr>
          <w:rFonts w:hint="eastAsia" w:ascii="宋体" w:hAnsi="宋体" w:cs="宋体"/>
          <w:sz w:val="24"/>
          <w:szCs w:val="24"/>
          <w:lang w:val="en-US" w:eastAsia="zh-CN"/>
        </w:rPr>
        <w:t>联系人：刘磊，联系电话：54041073、13788911954</w:t>
      </w:r>
    </w:p>
    <w:p>
      <w:pPr>
        <w:keepNext w:val="0"/>
        <w:keepLines w:val="0"/>
        <w:pageBreakBefore w:val="0"/>
        <w:kinsoku/>
        <w:wordWrap/>
        <w:overflowPunct/>
        <w:topLinePunct w:val="0"/>
        <w:bidi w:val="0"/>
        <w:snapToGrid/>
        <w:spacing w:line="240" w:lineRule="auto"/>
        <w:ind w:left="0" w:leftChars="0" w:right="0" w:rightChars="0" w:firstLine="480" w:firstLineChars="200"/>
        <w:jc w:val="left"/>
        <w:textAlignment w:val="auto"/>
        <w:outlineLvl w:val="9"/>
        <w:rPr>
          <w:rFonts w:hint="eastAsia" w:ascii="宋体" w:hAnsi="宋体" w:eastAsia="宋体" w:cs="宋体"/>
          <w:sz w:val="21"/>
          <w:szCs w:val="21"/>
        </w:rPr>
      </w:pPr>
    </w:p>
    <w:p>
      <w:pPr>
        <w:keepNext w:val="0"/>
        <w:keepLines w:val="0"/>
        <w:pageBreakBefore w:val="0"/>
        <w:kinsoku/>
        <w:wordWrap/>
        <w:overflowPunct/>
        <w:topLinePunct w:val="0"/>
        <w:bidi w:val="0"/>
        <w:snapToGrid/>
        <w:spacing w:line="240" w:lineRule="auto"/>
        <w:ind w:left="0" w:leftChars="0" w:right="0" w:rightChars="0" w:firstLine="0" w:firstLineChars="0"/>
        <w:jc w:val="left"/>
        <w:textAlignment w:val="auto"/>
        <w:outlineLvl w:val="9"/>
        <w:rPr>
          <w:rFonts w:hint="eastAsia" w:ascii="黑体" w:hAnsi="黑体" w:eastAsia="黑体" w:cs="黑体"/>
          <w:sz w:val="21"/>
          <w:szCs w:val="21"/>
        </w:rPr>
      </w:pPr>
    </w:p>
    <w:p>
      <w:pPr>
        <w:jc w:val="left"/>
        <w:rPr>
          <w:rFonts w:hint="eastAsia" w:ascii="黑体" w:hAnsi="黑体" w:eastAsia="黑体" w:cs="黑体"/>
          <w:b w:val="0"/>
          <w:bCs w:val="0"/>
          <w:kern w:val="0"/>
          <w:sz w:val="28"/>
          <w:szCs w:val="28"/>
        </w:rPr>
      </w:pPr>
      <w:r>
        <w:rPr>
          <w:rFonts w:hint="eastAsia" w:ascii="黑体" w:hAnsi="黑体" w:eastAsia="黑体" w:cs="黑体"/>
          <w:b w:val="0"/>
          <w:bCs w:val="0"/>
          <w:kern w:val="0"/>
          <w:sz w:val="28"/>
          <w:szCs w:val="28"/>
        </w:rPr>
        <w:t>附件：</w:t>
      </w:r>
    </w:p>
    <w:p>
      <w:pPr>
        <w:numPr>
          <w:ilvl w:val="0"/>
          <w:numId w:val="1"/>
        </w:numPr>
        <w:jc w:val="left"/>
        <w:rPr>
          <w:rFonts w:hint="eastAsia" w:ascii="黑体" w:hAnsi="黑体" w:eastAsia="黑体" w:cs="黑体"/>
          <w:kern w:val="0"/>
          <w:sz w:val="32"/>
          <w:szCs w:val="32"/>
        </w:rPr>
      </w:pPr>
      <w:r>
        <w:rPr>
          <w:rFonts w:hint="eastAsia" w:ascii="黑体" w:hAnsi="黑体" w:eastAsia="黑体" w:cs="黑体"/>
          <w:kern w:val="0"/>
          <w:sz w:val="32"/>
          <w:szCs w:val="32"/>
        </w:rPr>
        <w:t>上海职业院校教职工状况及其诉求理论研究报告</w:t>
      </w:r>
    </w:p>
    <w:p>
      <w:pPr>
        <w:numPr>
          <w:ilvl w:val="0"/>
          <w:numId w:val="1"/>
        </w:numPr>
        <w:jc w:val="left"/>
        <w:rPr>
          <w:rFonts w:hint="eastAsia" w:ascii="黑体" w:hAnsi="黑体" w:eastAsia="黑体" w:cs="黑体"/>
          <w:kern w:val="0"/>
          <w:sz w:val="32"/>
          <w:szCs w:val="32"/>
        </w:rPr>
      </w:pPr>
      <w:r>
        <w:rPr>
          <w:rFonts w:hint="eastAsia" w:ascii="黑体" w:hAnsi="黑体" w:eastAsia="黑体" w:cs="黑体"/>
          <w:kern w:val="0"/>
          <w:sz w:val="32"/>
          <w:szCs w:val="32"/>
        </w:rPr>
        <w:t>上海职业院校教职工状况及其诉求</w:t>
      </w:r>
      <w:r>
        <w:rPr>
          <w:rFonts w:hint="eastAsia" w:ascii="黑体" w:hAnsi="黑体" w:eastAsia="黑体" w:cs="黑体"/>
          <w:kern w:val="0"/>
          <w:sz w:val="32"/>
          <w:szCs w:val="32"/>
          <w:lang w:eastAsia="zh-CN"/>
        </w:rPr>
        <w:t>调查问卷</w:t>
      </w:r>
    </w:p>
    <w:p>
      <w:pPr>
        <w:jc w:val="left"/>
        <w:rPr>
          <w:rFonts w:hint="eastAsia" w:ascii="黑体" w:hAnsi="黑体" w:eastAsia="黑体" w:cs="黑体"/>
          <w:kern w:val="0"/>
          <w:sz w:val="32"/>
          <w:szCs w:val="32"/>
        </w:rPr>
      </w:pPr>
      <w:r>
        <w:rPr>
          <w:rFonts w:hint="eastAsia" w:ascii="黑体" w:hAnsi="黑体" w:eastAsia="黑体" w:cs="黑体"/>
          <w:kern w:val="0"/>
          <w:sz w:val="32"/>
          <w:szCs w:val="32"/>
          <w:lang w:val="en-US" w:eastAsia="zh-CN"/>
        </w:rPr>
        <w:t>3</w:t>
      </w:r>
      <w:r>
        <w:rPr>
          <w:rFonts w:hint="eastAsia" w:ascii="黑体" w:hAnsi="黑体" w:eastAsia="黑体" w:cs="黑体"/>
          <w:kern w:val="0"/>
          <w:sz w:val="32"/>
          <w:szCs w:val="32"/>
        </w:rPr>
        <w:t>.上海职业院校教职工状况及其诉求调查问卷</w:t>
      </w:r>
      <w:r>
        <w:rPr>
          <w:rFonts w:hint="eastAsia" w:ascii="黑体" w:hAnsi="黑体" w:eastAsia="黑体" w:cs="黑体"/>
          <w:kern w:val="0"/>
          <w:sz w:val="32"/>
          <w:szCs w:val="32"/>
          <w:lang w:eastAsia="zh-CN"/>
        </w:rPr>
        <w:t>分析报告</w:t>
      </w:r>
    </w:p>
    <w:p>
      <w:pPr>
        <w:jc w:val="left"/>
        <w:rPr>
          <w:rFonts w:hint="eastAsia" w:ascii="宋体" w:hAnsi="宋体" w:cs="宋体"/>
          <w:kern w:val="0"/>
          <w:sz w:val="28"/>
          <w:szCs w:val="28"/>
        </w:rPr>
      </w:pPr>
    </w:p>
    <w:p>
      <w:pPr>
        <w:jc w:val="left"/>
        <w:rPr>
          <w:rFonts w:hint="eastAsia" w:ascii="宋体" w:hAnsi="宋体" w:cs="宋体"/>
          <w:kern w:val="0"/>
          <w:sz w:val="28"/>
          <w:szCs w:val="28"/>
        </w:rPr>
      </w:pPr>
    </w:p>
    <w:p>
      <w:pPr>
        <w:jc w:val="left"/>
        <w:rPr>
          <w:rFonts w:hint="eastAsia" w:ascii="宋体" w:hAnsi="宋体" w:cs="宋体"/>
          <w:kern w:val="0"/>
          <w:sz w:val="28"/>
          <w:szCs w:val="28"/>
        </w:rPr>
      </w:pPr>
    </w:p>
    <w:p>
      <w:pPr>
        <w:jc w:val="left"/>
        <w:rPr>
          <w:rFonts w:hint="eastAsia" w:ascii="宋体" w:hAnsi="宋体" w:cs="宋体"/>
          <w:kern w:val="0"/>
          <w:sz w:val="28"/>
          <w:szCs w:val="28"/>
        </w:rPr>
      </w:pPr>
    </w:p>
    <w:p>
      <w:pPr>
        <w:spacing w:line="480" w:lineRule="exact"/>
        <w:jc w:val="left"/>
        <w:rPr>
          <w:rFonts w:ascii="华文宋体" w:hAnsi="华文宋体" w:eastAsia="华文宋体" w:cs="宋体"/>
          <w:kern w:val="0"/>
          <w:sz w:val="28"/>
          <w:szCs w:val="28"/>
        </w:rPr>
      </w:pPr>
      <w:r>
        <w:rPr>
          <w:rFonts w:hint="eastAsia" w:ascii="华文宋体" w:hAnsi="华文宋体" w:eastAsia="华文宋体" w:cs="宋体"/>
          <w:kern w:val="0"/>
          <w:sz w:val="28"/>
          <w:szCs w:val="28"/>
        </w:rPr>
        <w:br w:type="page"/>
      </w:r>
      <w:r>
        <w:rPr>
          <w:rFonts w:hint="eastAsia" w:ascii="宋体" w:hAnsi="宋体" w:eastAsia="宋体" w:cs="宋体"/>
          <w:kern w:val="0"/>
          <w:sz w:val="21"/>
          <w:szCs w:val="21"/>
        </w:rPr>
        <w:t>附件1</w:t>
      </w:r>
    </w:p>
    <w:p>
      <w:pPr>
        <w:spacing w:line="480" w:lineRule="exact"/>
        <w:jc w:val="center"/>
        <w:rPr>
          <w:rFonts w:hint="eastAsia" w:ascii="黑体" w:hAnsi="黑体" w:eastAsia="黑体" w:cs="黑体"/>
          <w:b/>
          <w:bCs/>
          <w:kern w:val="0"/>
          <w:sz w:val="32"/>
          <w:szCs w:val="32"/>
        </w:rPr>
      </w:pPr>
      <w:r>
        <w:rPr>
          <w:rFonts w:hint="eastAsia" w:ascii="黑体" w:hAnsi="黑体" w:eastAsia="黑体" w:cs="黑体"/>
          <w:b/>
          <w:bCs/>
          <w:kern w:val="0"/>
          <w:sz w:val="32"/>
          <w:szCs w:val="32"/>
        </w:rPr>
        <w:t>上海职业院校教职工状况及其诉求调查研究</w:t>
      </w:r>
    </w:p>
    <w:p>
      <w:pPr>
        <w:spacing w:line="480" w:lineRule="exact"/>
        <w:jc w:val="center"/>
        <w:rPr>
          <w:rFonts w:hint="eastAsia" w:ascii="黑体" w:hAnsi="黑体" w:eastAsia="黑体" w:cs="黑体"/>
          <w:b/>
          <w:bCs/>
          <w:kern w:val="0"/>
          <w:sz w:val="32"/>
          <w:szCs w:val="32"/>
        </w:rPr>
      </w:pPr>
      <w:r>
        <w:rPr>
          <w:rFonts w:hint="eastAsia" w:ascii="黑体" w:hAnsi="黑体" w:eastAsia="黑体" w:cs="黑体"/>
          <w:b/>
          <w:bCs/>
          <w:kern w:val="0"/>
          <w:sz w:val="32"/>
          <w:szCs w:val="32"/>
        </w:rPr>
        <w:t>理论研究报告</w:t>
      </w:r>
    </w:p>
    <w:p>
      <w:pPr>
        <w:spacing w:line="480" w:lineRule="exact"/>
        <w:jc w:val="center"/>
        <w:rPr>
          <w:rFonts w:ascii="华文宋体" w:hAnsi="华文宋体" w:eastAsia="华文宋体" w:cs="宋体"/>
          <w:b/>
          <w:bCs/>
          <w:kern w:val="0"/>
          <w:sz w:val="28"/>
          <w:szCs w:val="28"/>
        </w:rPr>
      </w:pPr>
    </w:p>
    <w:p>
      <w:pPr>
        <w:spacing w:after="312" w:afterLines="100" w:line="480" w:lineRule="exact"/>
        <w:jc w:val="center"/>
        <w:rPr>
          <w:rFonts w:ascii="华文宋体" w:hAnsi="华文宋体" w:eastAsia="华文宋体" w:cs="宋体"/>
          <w:b/>
          <w:bCs/>
          <w:kern w:val="0"/>
          <w:sz w:val="28"/>
          <w:szCs w:val="28"/>
        </w:rPr>
      </w:pPr>
      <w:r>
        <w:rPr>
          <w:rFonts w:hint="eastAsia" w:ascii="华文宋体" w:hAnsi="华文宋体" w:eastAsia="华文宋体" w:cs="宋体"/>
          <w:b/>
          <w:bCs/>
          <w:kern w:val="0"/>
          <w:sz w:val="28"/>
          <w:szCs w:val="28"/>
        </w:rPr>
        <w:t>文献综述：课题的研究起点</w:t>
      </w:r>
    </w:p>
    <w:p>
      <w:pPr>
        <w:ind w:firstLine="480"/>
        <w:jc w:val="left"/>
        <w:rPr>
          <w:rFonts w:ascii="华文宋体" w:hAnsi="华文宋体" w:eastAsia="华文宋体"/>
          <w:sz w:val="28"/>
          <w:szCs w:val="28"/>
        </w:rPr>
      </w:pPr>
      <w:r>
        <w:rPr>
          <w:rFonts w:hint="eastAsia" w:ascii="宋体" w:hAnsi="宋体" w:cs="宋体"/>
          <w:b w:val="0"/>
          <w:bCs w:val="0"/>
          <w:kern w:val="0"/>
          <w:sz w:val="24"/>
          <w:szCs w:val="24"/>
          <w:lang w:val="en-US" w:eastAsia="zh-CN"/>
        </w:rPr>
        <w:t>本文主要利用中国知网对文献进行检索，其中在主题一栏搜索“教职工状况”共有相关文献343条，其中90%以上是关于教职工健康状况的研究。用主题词“教职工诉求”进行检索，仅有7篇相关论文。通过查阅文献资料发现，我国对于教职工状况和诉求的相关研究还比较薄弱，主要涉及以下几个部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bCs/>
          <w:kern w:val="0"/>
          <w:sz w:val="24"/>
          <w:szCs w:val="24"/>
          <w:lang w:val="en-US" w:eastAsia="zh-CN"/>
        </w:rPr>
      </w:pPr>
      <w:r>
        <w:rPr>
          <w:rFonts w:hint="eastAsia" w:ascii="宋体" w:hAnsi="宋体" w:cs="宋体"/>
          <w:b/>
          <w:bCs/>
          <w:kern w:val="0"/>
          <w:sz w:val="24"/>
          <w:szCs w:val="24"/>
          <w:lang w:val="en-US" w:eastAsia="zh-CN"/>
        </w:rPr>
        <w:t>一、教职工工作状况现状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bCs/>
          <w:kern w:val="0"/>
          <w:sz w:val="24"/>
          <w:szCs w:val="24"/>
          <w:lang w:val="en-US" w:eastAsia="zh-CN"/>
        </w:rPr>
      </w:pPr>
      <w:r>
        <w:rPr>
          <w:rFonts w:hint="eastAsia" w:ascii="宋体" w:hAnsi="宋体" w:cs="宋体"/>
          <w:b/>
          <w:bCs/>
          <w:kern w:val="0"/>
          <w:sz w:val="24"/>
          <w:szCs w:val="24"/>
          <w:lang w:val="en-US" w:eastAsia="zh-CN"/>
        </w:rPr>
        <w:t>（一）工作环境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工作环境是影响教职工工作状况的重要因素之一，良好舒适的工作环境能够让教职工具有饱满的工作热情和持续的工作动力，并且能够全身心的投入到工作中去。反之，如果教职工对工作环境不满意，则易导致教职工工作缺乏活力，职业倦怠现象严重，教职工队伍不稳定等。因此，了解教职工对工作环境的态度对于提高其工作质量至关重要。</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赵怀娟等人在《安徽师范大学女教职工状况调查与分析》一文中谈到部分女教职工对学校工作环境不甚满意，特别体现在官僚主义作风、育人环境和教学科研条件等方面</w:t>
      </w:r>
      <w:r>
        <w:rPr>
          <w:rFonts w:hint="eastAsia" w:ascii="宋体" w:hAnsi="宋体" w:cs="宋体"/>
          <w:b w:val="0"/>
          <w:bCs w:val="0"/>
          <w:kern w:val="0"/>
          <w:sz w:val="24"/>
          <w:szCs w:val="24"/>
          <w:vertAlign w:val="superscript"/>
          <w:lang w:val="en-US" w:eastAsia="zh-CN"/>
        </w:rPr>
        <w:t>［1］</w:t>
      </w:r>
      <w:r>
        <w:rPr>
          <w:rFonts w:hint="eastAsia" w:ascii="宋体" w:hAnsi="宋体" w:cs="宋体"/>
          <w:b w:val="0"/>
          <w:bCs w:val="0"/>
          <w:kern w:val="0"/>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bCs/>
          <w:kern w:val="0"/>
          <w:sz w:val="24"/>
          <w:szCs w:val="24"/>
          <w:lang w:val="en-US" w:eastAsia="zh-CN"/>
        </w:rPr>
      </w:pPr>
      <w:r>
        <w:rPr>
          <w:rFonts w:hint="eastAsia" w:ascii="宋体" w:hAnsi="宋体" w:cs="宋体"/>
          <w:b/>
          <w:bCs/>
          <w:kern w:val="0"/>
          <w:sz w:val="24"/>
          <w:szCs w:val="24"/>
          <w:lang w:val="en-US" w:eastAsia="zh-CN"/>
        </w:rPr>
        <w:t>（二）工作压力</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随着社会的不断进步，国家对教学质量的要求日益提高，这督促着教师不断改进教学方法，逐步提高教学效率和质量，教师面临的教学和科研压力与日俱增。为了完成各项教学任务、科研任务、学术上的目标及其它工作，教师们普遍存在工作压力大、作息不规律等状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何丽清、梁新明、万丽丽在《高校女教职工状况调查与思考》一文中提到，近年来高校招生规模不断扩大，教师编制相对紧缺，女职工工作压力呈增长之势。调查发现，普遍认为学校规定的工作量大，31.4%的女教职工感到工作压力大，37.8%的人认为工作压力主要源于工作任务繁重，这证实了女教职工认为学校规定工作量大的调查结果</w:t>
      </w:r>
      <w:r>
        <w:rPr>
          <w:rFonts w:hint="eastAsia" w:ascii="宋体" w:hAnsi="宋体" w:cs="宋体"/>
          <w:b w:val="0"/>
          <w:bCs w:val="0"/>
          <w:kern w:val="0"/>
          <w:sz w:val="24"/>
          <w:szCs w:val="24"/>
          <w:vertAlign w:val="superscript"/>
          <w:lang w:val="en-US" w:eastAsia="zh-CN"/>
        </w:rPr>
        <w:t>［2］</w:t>
      </w:r>
      <w:r>
        <w:rPr>
          <w:rFonts w:hint="eastAsia" w:ascii="宋体" w:hAnsi="宋体" w:cs="宋体"/>
          <w:b w:val="0"/>
          <w:bCs w:val="0"/>
          <w:kern w:val="0"/>
          <w:sz w:val="24"/>
          <w:szCs w:val="24"/>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张婷在《南京市某髙校教职工健康状况调查及影响因素分析》一文中显示教职工工作压力超过范围的比例为37.4%，工作时间超过8小时的比例为67.9%，每天在12点以后休息的比例为11.4%，睡眠时间在六小时以下的比例为6.3%，睡眠质量较差的比例为9.7%</w:t>
      </w:r>
      <w:r>
        <w:rPr>
          <w:rFonts w:hint="eastAsia" w:ascii="宋体" w:hAnsi="宋体" w:cs="宋体"/>
          <w:b w:val="0"/>
          <w:bCs w:val="0"/>
          <w:kern w:val="0"/>
          <w:sz w:val="24"/>
          <w:szCs w:val="24"/>
          <w:vertAlign w:val="superscript"/>
          <w:lang w:val="en-US" w:eastAsia="zh-CN"/>
        </w:rPr>
        <w:t>［3］</w:t>
      </w:r>
      <w:r>
        <w:rPr>
          <w:rFonts w:hint="eastAsia" w:ascii="宋体" w:hAnsi="宋体" w:cs="宋体"/>
          <w:b w:val="0"/>
          <w:bCs w:val="0"/>
          <w:kern w:val="0"/>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李志荣在《江苏省高校教职工健康状况与体育生活方式的调查研究》一文中发现有多数的高校教职工认为“教学科研”是自己工作压力的主要来源,而“经济”是自己工作压力的次要来源。女教职工由“教学科研”所带来的工作压力相对小于高校男教职工。从年龄方面来看，“教学科研”带来的工作压力仍然是各年龄段的高校教职工的首选压力来源。但随着年龄的增大，此种压力反而呈下降趋势。35岁以下的高校教职工来自“经济”上的压力较其他年龄段高校教职工都要高。究其原因是因为青年教职工的收入相对较低,同时又面临住房、子女的教育开支等重额消费</w:t>
      </w:r>
      <w:r>
        <w:rPr>
          <w:rFonts w:hint="eastAsia" w:ascii="宋体" w:hAnsi="宋体" w:cs="宋体"/>
          <w:b w:val="0"/>
          <w:bCs w:val="0"/>
          <w:kern w:val="0"/>
          <w:sz w:val="24"/>
          <w:szCs w:val="24"/>
          <w:vertAlign w:val="superscript"/>
          <w:lang w:val="en-US" w:eastAsia="zh-CN"/>
        </w:rPr>
        <w:t>［4］</w:t>
      </w:r>
      <w:r>
        <w:rPr>
          <w:rFonts w:hint="eastAsia" w:ascii="宋体" w:hAnsi="宋体" w:cs="宋体"/>
          <w:b w:val="0"/>
          <w:bCs w:val="0"/>
          <w:kern w:val="0"/>
          <w:sz w:val="24"/>
          <w:szCs w:val="24"/>
          <w:lang w:val="en-US" w:eastAsia="zh-CN"/>
        </w:rPr>
        <w:t>。在“工作压力的来源”上，39.95%的人回答压力来自于不断完善自我的内在需求；18.63%的人回答压力来自于学生越来越高的学习要求；15.42%的人回答压力来自于学校日益严格的工作管理考核制度</w:t>
      </w:r>
      <w:r>
        <w:rPr>
          <w:rFonts w:hint="eastAsia" w:ascii="宋体" w:hAnsi="宋体" w:cs="宋体"/>
          <w:b w:val="0"/>
          <w:bCs w:val="0"/>
          <w:kern w:val="0"/>
          <w:sz w:val="24"/>
          <w:szCs w:val="24"/>
          <w:vertAlign w:val="superscript"/>
          <w:lang w:val="en-US" w:eastAsia="zh-CN"/>
        </w:rPr>
        <w:t>［5］</w:t>
      </w:r>
      <w:r>
        <w:rPr>
          <w:rFonts w:hint="eastAsia" w:ascii="宋体" w:hAnsi="宋体" w:cs="宋体"/>
          <w:b w:val="0"/>
          <w:bCs w:val="0"/>
          <w:kern w:val="0"/>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bCs/>
          <w:kern w:val="0"/>
          <w:sz w:val="24"/>
          <w:szCs w:val="24"/>
          <w:lang w:val="en-US" w:eastAsia="zh-CN"/>
        </w:rPr>
      </w:pPr>
      <w:r>
        <w:rPr>
          <w:rFonts w:hint="eastAsia" w:ascii="宋体" w:hAnsi="宋体" w:cs="宋体"/>
          <w:b/>
          <w:bCs/>
          <w:kern w:val="0"/>
          <w:sz w:val="24"/>
          <w:szCs w:val="24"/>
          <w:lang w:val="en-US" w:eastAsia="zh-CN"/>
        </w:rPr>
        <w:t>（三）职业挫败</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赵怀娟等人调查发现女职工对职业环境中的性别关系感到不满，认为在以下三个方面不能与男性享有享有共同的机会：晋升（75%）、人格（58.6%）、待遇（32.6%）</w:t>
      </w:r>
      <w:r>
        <w:rPr>
          <w:rFonts w:hint="eastAsia" w:ascii="宋体" w:hAnsi="宋体" w:cs="宋体"/>
          <w:b w:val="0"/>
          <w:bCs w:val="0"/>
          <w:kern w:val="0"/>
          <w:sz w:val="24"/>
          <w:szCs w:val="24"/>
          <w:vertAlign w:val="superscript"/>
          <w:lang w:val="en-US" w:eastAsia="zh-CN"/>
        </w:rPr>
        <w:t>［6］</w:t>
      </w:r>
      <w:r>
        <w:rPr>
          <w:rFonts w:hint="eastAsia" w:ascii="宋体" w:hAnsi="宋体" w:cs="宋体"/>
          <w:b w:val="0"/>
          <w:bCs w:val="0"/>
          <w:kern w:val="0"/>
          <w:sz w:val="24"/>
          <w:szCs w:val="24"/>
          <w:lang w:val="en-US" w:eastAsia="zh-CN"/>
        </w:rPr>
        <w:t>。这种思想的滋生极易导致女教职工产生职业挫败感，她们会自发地认为自己再怎么努力，也难以像男性一样取得大成就，因此就会逐渐对工作失去热情，工作质量也会受到影响。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研究发现，大部分教职工对工作环境较为满意，但一些女教职工也表示由于传统思想对女性的束缚导致女教职工难以与男教职工在人格上享受同等对待，晋升机会和渠道也不如男职工。教职工的工作压力普遍较大，主要来源无外乎科研压力、教学压力和经济压力等。而相对于男教职工来说，女教职工往往会面临工作和家庭生活双重压力。</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总体来看，专门针对教职工工作状况的研究较少，一般是在研究教职工的身体状况时，将工作压力、工作环境等作为其中一个影响因素加以阐述。教职工的工作状况直接关系到教学和管理任务完成的质量，对提高教职工工作效率具有重大意义。因此在后续的研究中，应逐步加大对这一方面的专门研究，真实反映教职工整个的工作状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bCs/>
          <w:kern w:val="0"/>
          <w:sz w:val="24"/>
          <w:szCs w:val="24"/>
          <w:lang w:val="en-US" w:eastAsia="zh-CN"/>
        </w:rPr>
      </w:pPr>
      <w:r>
        <w:rPr>
          <w:rFonts w:hint="eastAsia" w:ascii="宋体" w:hAnsi="宋体" w:cs="宋体"/>
          <w:b/>
          <w:bCs/>
          <w:kern w:val="0"/>
          <w:sz w:val="24"/>
          <w:szCs w:val="24"/>
          <w:lang w:val="en-US" w:eastAsia="zh-CN"/>
        </w:rPr>
        <w:t>二、教职工生活状况现状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bCs/>
          <w:kern w:val="0"/>
          <w:sz w:val="24"/>
          <w:szCs w:val="24"/>
          <w:lang w:val="en-US" w:eastAsia="zh-CN"/>
        </w:rPr>
      </w:pPr>
      <w:r>
        <w:rPr>
          <w:rFonts w:hint="eastAsia" w:ascii="宋体" w:hAnsi="宋体" w:cs="宋体"/>
          <w:b/>
          <w:bCs/>
          <w:kern w:val="0"/>
          <w:sz w:val="24"/>
          <w:szCs w:val="24"/>
          <w:lang w:val="en-US" w:eastAsia="zh-CN"/>
        </w:rPr>
        <w:t>（一）身体健康</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身体健康是教职工保质完成教学任务和保持高涨的教学热情的基本前提，通过研究教职工的身体健康状态可以为更好地提高教学质量和效率提供一个切入口。通过查阅文献发现，总体来讲，教职工群体身体健康状况一般，出现亚健康以及慢性疾病的现象较为普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亚健康是相对于健康状态提出的，它是指机体在内外环境的不良刺激下引起也理、生理发生异常变化，但尚未达到明显病理性反应的程度。从生理学角度来讲，就是人体各器官功能稳定性失调，但尚未引起器质性损伤，医学上称为慢性疲劳综合症</w:t>
      </w:r>
      <w:r>
        <w:rPr>
          <w:rFonts w:hint="eastAsia" w:ascii="宋体" w:hAnsi="宋体" w:cs="宋体"/>
          <w:b w:val="0"/>
          <w:bCs w:val="0"/>
          <w:kern w:val="0"/>
          <w:sz w:val="24"/>
          <w:szCs w:val="24"/>
          <w:vertAlign w:val="superscript"/>
          <w:lang w:val="en-US" w:eastAsia="zh-CN"/>
        </w:rPr>
        <w:t>［7］</w:t>
      </w:r>
      <w:r>
        <w:rPr>
          <w:rFonts w:hint="eastAsia" w:ascii="宋体" w:hAnsi="宋体" w:cs="宋体"/>
          <w:b w:val="0"/>
          <w:bCs w:val="0"/>
          <w:kern w:val="0"/>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朱宪、胡梅、彭晓霞、侯婕、忻平在《北京某高校教职工健康状况调查和分析》一文中对首都医科大学的教职工的身体健康状况采取问卷形式做了广泛调查。结果表明：高校教职工正在成为亚健康的高发人群。而河北一项高校人力资源现状调查显示高校教师有58%的人感到压力大，慢性疲劳与失眠是亚健康的重要表现</w:t>
      </w:r>
      <w:r>
        <w:rPr>
          <w:rFonts w:hint="eastAsia" w:ascii="宋体" w:hAnsi="宋体" w:cs="宋体"/>
          <w:b w:val="0"/>
          <w:bCs w:val="0"/>
          <w:kern w:val="0"/>
          <w:sz w:val="24"/>
          <w:szCs w:val="24"/>
          <w:vertAlign w:val="superscript"/>
          <w:lang w:val="en-US" w:eastAsia="zh-CN"/>
        </w:rPr>
        <w:t>［8］</w:t>
      </w:r>
      <w:r>
        <w:rPr>
          <w:rFonts w:hint="eastAsia" w:ascii="宋体" w:hAnsi="宋体" w:cs="宋体"/>
          <w:b w:val="0"/>
          <w:bCs w:val="0"/>
          <w:kern w:val="0"/>
          <w:sz w:val="24"/>
          <w:szCs w:val="24"/>
          <w:lang w:val="en-US" w:eastAsia="zh-CN"/>
        </w:rPr>
        <w:t>。李志荣在《江苏省高校教职工健康状况与体育生活方式的调查研究》分析有22.04%的高校教职工经常有“亚健康”感觉，其中发生率较高的症状依次是：“容易疲劳”(10.73%)、“记忆力下降”(10.73%)、“颈肩僵硬”(10.00%)、“注意力不集中”(5.61%)、“健忘”(5.37%)；有61.63%的高校教职工选择了“偶尔有”，其中发生率较高的症状依次是:“容易疲劳”(9.24%)、“记忆力下降”(8.40%)、“情绪低落”(8.12%)、“颈肩僵硬”(7.00%)、“头晕”(5.88%)。数据说明，江苏省高校教职工无慢性病人群中亚健康的发生率为83.67%，健康的比率占16.33%</w:t>
      </w:r>
      <w:r>
        <w:rPr>
          <w:rFonts w:hint="eastAsia" w:ascii="宋体" w:hAnsi="宋体" w:cs="宋体"/>
          <w:b w:val="0"/>
          <w:bCs w:val="0"/>
          <w:kern w:val="0"/>
          <w:sz w:val="24"/>
          <w:szCs w:val="24"/>
          <w:vertAlign w:val="superscript"/>
          <w:lang w:val="en-US" w:eastAsia="zh-CN"/>
        </w:rPr>
        <w:t>［9］</w:t>
      </w:r>
      <w:r>
        <w:rPr>
          <w:rFonts w:hint="eastAsia" w:ascii="宋体" w:hAnsi="宋体" w:cs="宋体"/>
          <w:b w:val="0"/>
          <w:bCs w:val="0"/>
          <w:kern w:val="0"/>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慢性非传染性疾病(简称慢性病)是一类与不良行为和生活方式密切相关的疾病，包括高脂血症、糖尿病、高血压等，又被称为生活方式病</w:t>
      </w:r>
      <w:r>
        <w:rPr>
          <w:rFonts w:hint="eastAsia" w:ascii="宋体" w:hAnsi="宋体" w:cs="宋体"/>
          <w:b w:val="0"/>
          <w:bCs w:val="0"/>
          <w:kern w:val="0"/>
          <w:sz w:val="24"/>
          <w:szCs w:val="24"/>
          <w:vertAlign w:val="superscript"/>
          <w:lang w:val="en-US" w:eastAsia="zh-CN"/>
        </w:rPr>
        <w:t>［10］</w:t>
      </w:r>
      <w:r>
        <w:rPr>
          <w:rFonts w:hint="eastAsia" w:ascii="宋体" w:hAnsi="宋体" w:cs="宋体"/>
          <w:b w:val="0"/>
          <w:bCs w:val="0"/>
          <w:kern w:val="0"/>
          <w:sz w:val="24"/>
          <w:szCs w:val="24"/>
          <w:lang w:val="en-US" w:eastAsia="zh-CN"/>
        </w:rPr>
        <w:t>。是不良生活方式，饮食习惯，环境因素等多种因素相互作化长期积累的结果。慢性病已成为发达国家和发展中国家残疾化及早死的主要原因，是全球致残的首要原因</w:t>
      </w:r>
      <w:r>
        <w:rPr>
          <w:rFonts w:hint="eastAsia" w:ascii="宋体" w:hAnsi="宋体" w:cs="宋体"/>
          <w:b w:val="0"/>
          <w:bCs w:val="0"/>
          <w:kern w:val="0"/>
          <w:sz w:val="24"/>
          <w:szCs w:val="24"/>
          <w:vertAlign w:val="superscript"/>
          <w:lang w:val="en-US" w:eastAsia="zh-CN"/>
        </w:rPr>
        <w:t>［11］</w:t>
      </w:r>
      <w:r>
        <w:rPr>
          <w:rFonts w:hint="eastAsia" w:ascii="宋体" w:hAnsi="宋体" w:cs="宋体"/>
          <w:b w:val="0"/>
          <w:bCs w:val="0"/>
          <w:kern w:val="0"/>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李志荣对江苏省高校的教职工进行了调查，结果显示，江苏省有1/3左右的高校教职工患有慢性疾病。男性略高于女性，随着年龄的增长，慢性病的发生率呈上升的趋势。高校教职工患有慢性疾病排序前三位的分别是：消化系统疾病、运动器官疾病和呼吸系统疾病。对同一年龄阶段的高校教职工来说，55岁以下各年龄段的高校教职工所患慢性疾病前三项的依然是消化系统疾病、运动器管疾病和呼吸系统疾病，和总体基本一致。通过分析发现影响江苏省高校教职工身心健康的因素主要有：饮食无规律、无体育活动、每天睡眠时间少于6小时、长期大量饮酒抽烟、工作竞争激烈等</w:t>
      </w:r>
      <w:r>
        <w:rPr>
          <w:rFonts w:hint="eastAsia" w:ascii="宋体" w:hAnsi="宋体" w:cs="宋体"/>
          <w:b w:val="0"/>
          <w:bCs w:val="0"/>
          <w:kern w:val="0"/>
          <w:sz w:val="24"/>
          <w:szCs w:val="24"/>
          <w:vertAlign w:val="superscript"/>
          <w:lang w:val="en-US" w:eastAsia="zh-CN"/>
        </w:rPr>
        <w:t>［12］</w:t>
      </w:r>
      <w:r>
        <w:rPr>
          <w:rFonts w:hint="eastAsia" w:ascii="宋体" w:hAnsi="宋体" w:cs="宋体"/>
          <w:b w:val="0"/>
          <w:bCs w:val="0"/>
          <w:kern w:val="0"/>
          <w:sz w:val="24"/>
          <w:szCs w:val="24"/>
          <w:lang w:val="en-US" w:eastAsia="zh-CN"/>
        </w:rPr>
        <w:t>。而张凤梅，徐恒戬在《某高校教职工健康状况分析》一文中主要从医学角度详细调查了某高校中教职工的健康状况，高校教职工健康自评情况较好，而客观健康状况较差。另外，本文分别分析了男女教师、男女行政人员、男女后勤人员之间的差异。一般来说，后勤人员高血压、高脂血症、脂肪肝、冠心病、脑卒中、糖尿病、胆囊炎、胆囊结石的患病率明显高于教师和行政人员，教师慢性咽炎、前列腺增生的患病率明显高于后勤和行政人员。慢性咽炎在高校教师中具有极高的患病率，与教师职业有密切的关系。慢性咽炎是在职教职工最常见的疾病，在60岁以下人群中慢性咽炎的患病率为33.57%。教师慢性咽炎的患病率为34.99%， 明显高于行政人员和后勤人员（26.40%、22.55%）</w:t>
      </w:r>
      <w:r>
        <w:rPr>
          <w:rFonts w:hint="eastAsia" w:ascii="宋体" w:hAnsi="宋体" w:cs="宋体"/>
          <w:b w:val="0"/>
          <w:bCs w:val="0"/>
          <w:kern w:val="0"/>
          <w:sz w:val="24"/>
          <w:szCs w:val="24"/>
          <w:vertAlign w:val="superscript"/>
          <w:lang w:val="en-US" w:eastAsia="zh-CN"/>
        </w:rPr>
        <w:t>［13］</w:t>
      </w:r>
      <w:r>
        <w:rPr>
          <w:rFonts w:hint="eastAsia" w:ascii="宋体" w:hAnsi="宋体" w:cs="宋体"/>
          <w:b w:val="0"/>
          <w:bCs w:val="0"/>
          <w:kern w:val="0"/>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bCs/>
          <w:kern w:val="0"/>
          <w:sz w:val="24"/>
          <w:szCs w:val="24"/>
          <w:lang w:val="en-US" w:eastAsia="zh-CN"/>
        </w:rPr>
      </w:pPr>
      <w:r>
        <w:rPr>
          <w:rFonts w:hint="eastAsia" w:ascii="宋体" w:hAnsi="宋体" w:cs="宋体"/>
          <w:b/>
          <w:bCs/>
          <w:kern w:val="0"/>
          <w:sz w:val="24"/>
          <w:szCs w:val="24"/>
          <w:lang w:val="en-US" w:eastAsia="zh-CN"/>
        </w:rPr>
        <w:t>（二）家庭生活</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赵怀娟等人通过调查发现，92%以上的女教师认为居住情况与经济情况尚可，而且随着房价的不断攀升，九成多的女性赞成“由学校牵头联系开发商建设住宅小区，由职工个人出资购买”。大多数的女性教职工由于经济收入较好，受教育程度高、家庭生活较为和谐。在家务劳动方面，女性仍是主要承担者，但劳动时间有所减少</w:t>
      </w:r>
      <w:r>
        <w:rPr>
          <w:rFonts w:hint="eastAsia" w:ascii="宋体" w:hAnsi="宋体" w:cs="宋体"/>
          <w:b w:val="0"/>
          <w:bCs w:val="0"/>
          <w:kern w:val="0"/>
          <w:sz w:val="24"/>
          <w:szCs w:val="24"/>
          <w:vertAlign w:val="superscript"/>
          <w:lang w:val="en-US" w:eastAsia="zh-CN"/>
        </w:rPr>
        <w:t>［14］</w:t>
      </w:r>
      <w:r>
        <w:rPr>
          <w:rFonts w:hint="eastAsia" w:ascii="宋体" w:hAnsi="宋体" w:cs="宋体"/>
          <w:b w:val="0"/>
          <w:bCs w:val="0"/>
          <w:kern w:val="0"/>
          <w:sz w:val="24"/>
          <w:szCs w:val="24"/>
          <w:lang w:val="en-US" w:eastAsia="zh-CN"/>
        </w:rPr>
        <w:t>。何丽清、梁新明和万丽丽在《高校女教职工状况调查与思考》一文中调查显示，77.5%的女职工每天从事家务劳动的时间少于3小时，44.2%的女教职工少于2小时，均低于全国妇女平均水平(4.01小时)和城镇职业女性平均水平(2.9个小时)</w:t>
      </w:r>
      <w:r>
        <w:rPr>
          <w:rFonts w:hint="eastAsia" w:ascii="宋体" w:hAnsi="宋体" w:cs="宋体"/>
          <w:b w:val="0"/>
          <w:bCs w:val="0"/>
          <w:kern w:val="0"/>
          <w:sz w:val="24"/>
          <w:szCs w:val="24"/>
          <w:vertAlign w:val="superscript"/>
          <w:lang w:val="en-US" w:eastAsia="zh-CN"/>
        </w:rPr>
        <w:t>［15］</w:t>
      </w:r>
      <w:r>
        <w:rPr>
          <w:rFonts w:hint="eastAsia" w:ascii="宋体" w:hAnsi="宋体" w:cs="宋体"/>
          <w:b w:val="0"/>
          <w:bCs w:val="0"/>
          <w:kern w:val="0"/>
          <w:sz w:val="24"/>
          <w:szCs w:val="24"/>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bCs/>
          <w:kern w:val="0"/>
          <w:sz w:val="24"/>
          <w:szCs w:val="24"/>
          <w:lang w:val="en-US" w:eastAsia="zh-CN"/>
        </w:rPr>
      </w:pPr>
      <w:r>
        <w:rPr>
          <w:rFonts w:hint="eastAsia" w:ascii="宋体" w:hAnsi="宋体" w:cs="宋体"/>
          <w:b/>
          <w:bCs/>
          <w:kern w:val="0"/>
          <w:sz w:val="24"/>
          <w:szCs w:val="24"/>
          <w:lang w:val="en-US" w:eastAsia="zh-CN"/>
        </w:rPr>
        <w:t>（三）行为习惯</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行为习惯是个体在日常生活中长期形成的较为稳定的行为方式，是生活方式的重要组成部分。个体是否养成了良好的生活习惯对其身心健康状况，工作生活状况等至关重要，正如前苏联医学博士兹与诺夫斯基提出：一个人的健康和寿命与他的情绪稳定、经常运动和合理饮食成正比，与懒惰成性和烟酒成癖成反比</w:t>
      </w:r>
      <w:r>
        <w:rPr>
          <w:rFonts w:hint="eastAsia" w:ascii="宋体" w:hAnsi="宋体" w:cs="宋体"/>
          <w:b w:val="0"/>
          <w:bCs w:val="0"/>
          <w:kern w:val="0"/>
          <w:sz w:val="24"/>
          <w:szCs w:val="24"/>
          <w:vertAlign w:val="superscript"/>
          <w:lang w:val="en-US" w:eastAsia="zh-CN"/>
        </w:rPr>
        <w:t>［16］</w:t>
      </w:r>
      <w:r>
        <w:rPr>
          <w:rFonts w:hint="eastAsia" w:ascii="宋体" w:hAnsi="宋体" w:cs="宋体"/>
          <w:b w:val="0"/>
          <w:bCs w:val="0"/>
          <w:kern w:val="0"/>
          <w:sz w:val="24"/>
          <w:szCs w:val="24"/>
          <w:lang w:val="en-US" w:eastAsia="zh-CN"/>
        </w:rPr>
        <w:t>周君华等在对鲁东大学中的调查中发现，该校66%的男教职工吸烟且吸烟量越来越大，甚至开始威胁健康；喝酒者占75%；同时有烟酒嗜好者占24.7%，且全部为男性。在饮食方面，40%的教职工不能按时进三餐，38%的教职工有不吃早餐的习惯，三餐营养不能合理分配的占45%。调查中还发现，46%的教职工每天工作时间超过9小时，25%的教职工不能保证充足的睡眠</w:t>
      </w:r>
      <w:r>
        <w:rPr>
          <w:rFonts w:hint="eastAsia" w:ascii="宋体" w:hAnsi="宋体" w:cs="宋体"/>
          <w:b w:val="0"/>
          <w:bCs w:val="0"/>
          <w:kern w:val="0"/>
          <w:sz w:val="24"/>
          <w:szCs w:val="24"/>
          <w:vertAlign w:val="superscript"/>
          <w:lang w:val="en-US" w:eastAsia="zh-CN"/>
        </w:rPr>
        <w:t>［17］</w:t>
      </w:r>
      <w:r>
        <w:rPr>
          <w:rFonts w:hint="eastAsia" w:ascii="宋体" w:hAnsi="宋体" w:cs="宋体"/>
          <w:b w:val="0"/>
          <w:bCs w:val="0"/>
          <w:kern w:val="0"/>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关于教职工生活状况的研究绝大部分集中于调查某一学校或某一地区教职工的身体状况，如亚健康或慢性疾病等，其中关于健康状况与体育锻炼，生活方式等关系的研究也较为丰富。研究表明，由于受工作压力、不良生活习惯等影响，教职工已经成为亚健康和慢性疾病的高发人群，其中最常见的表现为慢性疲劳，失眠，精神不振等，这极易导致教职工工作质量和生活热情的下滑。在家庭生活方面，多数研究者倾向于调查女性教职工做家务的时间以及如何平衡工作和家庭二者的关系，针对男教职工家庭生活状况的研究微乎其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总之，在教职工生活状况这一方面，多数研究只是单纯的聚焦在健康状况上，忽视了如经济收入，教职工幸福感等的关注。因此，后续的研究应不断扩大研究的范围，从多方面完整了解教职工的生活状况。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bCs/>
          <w:kern w:val="0"/>
          <w:sz w:val="24"/>
          <w:szCs w:val="24"/>
          <w:lang w:val="en-US" w:eastAsia="zh-CN"/>
        </w:rPr>
      </w:pPr>
      <w:r>
        <w:rPr>
          <w:rFonts w:hint="eastAsia" w:ascii="宋体" w:hAnsi="宋体" w:cs="宋体"/>
          <w:b/>
          <w:bCs/>
          <w:kern w:val="0"/>
          <w:sz w:val="24"/>
          <w:szCs w:val="24"/>
          <w:lang w:val="en-US" w:eastAsia="zh-CN"/>
        </w:rPr>
        <w:t>三、教职工思想状况现状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bCs/>
          <w:kern w:val="0"/>
          <w:sz w:val="24"/>
          <w:szCs w:val="24"/>
          <w:lang w:val="en-US" w:eastAsia="zh-CN"/>
        </w:rPr>
      </w:pPr>
      <w:r>
        <w:rPr>
          <w:rFonts w:hint="eastAsia" w:ascii="宋体" w:hAnsi="宋体" w:cs="宋体"/>
          <w:b/>
          <w:bCs/>
          <w:kern w:val="0"/>
          <w:sz w:val="24"/>
          <w:szCs w:val="24"/>
          <w:lang w:val="en-US" w:eastAsia="zh-CN"/>
        </w:rPr>
        <w:t>（一）人生观</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赵怀娟等人在《安徽师范大学女教职工状况调查与分析》中谈到女职工把人生价值定位于“家庭幸福”，力求事业与家庭兼顾，“男主外，女主内”，“男人以事业为主，女人以家庭为主”等传统观念在高校知识女性中仍有较大市场</w:t>
      </w:r>
      <w:r>
        <w:rPr>
          <w:rFonts w:hint="eastAsia" w:ascii="宋体" w:hAnsi="宋体" w:cs="宋体"/>
          <w:b w:val="0"/>
          <w:bCs w:val="0"/>
          <w:kern w:val="0"/>
          <w:sz w:val="24"/>
          <w:szCs w:val="24"/>
          <w:vertAlign w:val="superscript"/>
          <w:lang w:val="en-US" w:eastAsia="zh-CN"/>
        </w:rPr>
        <w:t>［18］</w:t>
      </w:r>
      <w:r>
        <w:rPr>
          <w:rFonts w:hint="eastAsia" w:ascii="宋体" w:hAnsi="宋体" w:cs="宋体"/>
          <w:b w:val="0"/>
          <w:bCs w:val="0"/>
          <w:kern w:val="0"/>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bCs/>
          <w:kern w:val="0"/>
          <w:sz w:val="24"/>
          <w:szCs w:val="24"/>
          <w:lang w:val="en-US" w:eastAsia="zh-CN"/>
        </w:rPr>
      </w:pPr>
      <w:r>
        <w:rPr>
          <w:rFonts w:hint="eastAsia" w:ascii="宋体" w:hAnsi="宋体" w:cs="宋体"/>
          <w:b/>
          <w:bCs/>
          <w:kern w:val="0"/>
          <w:sz w:val="24"/>
          <w:szCs w:val="24"/>
          <w:lang w:val="en-US" w:eastAsia="zh-CN"/>
        </w:rPr>
        <w:t>（二）价值观</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宋小兰、宋全德对高校教职工党员的思想状况进行了调查分析，结果显示：他们拥护改革开放，赞同党的路线、方针、政策，但思想理论学习气氛不浓；在人生价值方面，大多数教职工党员具有科学的人生价值取向，但也有一部分人追求奉献与索取，利他与利己的结合及平衡，党的宗旨观念淡薄；关注社会现实，忧国忧民，但视野较窄，更多集中于与自身利益直接相关的问题；对改革要求迫切，但实劲不足</w:t>
      </w:r>
      <w:r>
        <w:rPr>
          <w:rFonts w:hint="eastAsia" w:ascii="宋体" w:hAnsi="宋体" w:cs="宋体"/>
          <w:b w:val="0"/>
          <w:bCs w:val="0"/>
          <w:kern w:val="0"/>
          <w:sz w:val="24"/>
          <w:szCs w:val="24"/>
          <w:vertAlign w:val="superscript"/>
          <w:lang w:val="en-US" w:eastAsia="zh-CN"/>
        </w:rPr>
        <w:t>［19］</w:t>
      </w:r>
      <w:r>
        <w:rPr>
          <w:rFonts w:hint="eastAsia" w:ascii="宋体" w:hAnsi="宋体" w:cs="宋体"/>
          <w:b w:val="0"/>
          <w:bCs w:val="0"/>
          <w:kern w:val="0"/>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西安航专校工会在《青年教职工状况调查报告》一文中指出该校青年教职工的思想政治状况主流是积极、健康、向上的。他们政治思想观点明确、是非界线分明，比较具有正确的世界观、人生观和价值观。只有极少数人对某些深层次的理论问题或观点存在一些模糊的认识</w:t>
      </w:r>
      <w:r>
        <w:rPr>
          <w:rFonts w:hint="eastAsia" w:ascii="宋体" w:hAnsi="宋体" w:cs="宋体"/>
          <w:b w:val="0"/>
          <w:bCs w:val="0"/>
          <w:kern w:val="0"/>
          <w:sz w:val="24"/>
          <w:szCs w:val="24"/>
          <w:vertAlign w:val="superscript"/>
          <w:lang w:val="en-US" w:eastAsia="zh-CN"/>
        </w:rPr>
        <w:t>［20］</w:t>
      </w:r>
      <w:r>
        <w:rPr>
          <w:rFonts w:hint="eastAsia" w:ascii="宋体" w:hAnsi="宋体" w:cs="宋体"/>
          <w:b w:val="0"/>
          <w:bCs w:val="0"/>
          <w:kern w:val="0"/>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总体来看，目前对教职工思想状况的研究较少，为数不多的几篇文章也多是从教职工的政治思想方面入手，很少涉及教职工的人生观，教育观等。教职工的思想状况直接影响其对工作的态度以及工作热情，深入了解教职工的政治思想觉悟、教育理念、对待学生的态度和人生理想等对促进教职工更好的开展工作意义深远。因此，我们应不断扩充思想状况的研究范围，在全面把握教职工思想状况的基础上采取有效的激励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bCs/>
          <w:kern w:val="0"/>
          <w:sz w:val="24"/>
          <w:szCs w:val="24"/>
          <w:lang w:val="en-US" w:eastAsia="zh-CN"/>
        </w:rPr>
      </w:pPr>
      <w:r>
        <w:rPr>
          <w:rFonts w:hint="eastAsia" w:ascii="宋体" w:hAnsi="宋体" w:cs="宋体"/>
          <w:b/>
          <w:bCs/>
          <w:kern w:val="0"/>
          <w:sz w:val="24"/>
          <w:szCs w:val="24"/>
          <w:lang w:val="en-US" w:eastAsia="zh-CN"/>
        </w:rPr>
        <w:t>四、利益诉求</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教职工利益诉求是指教职工主体利益得不到满足或受到侵害时，诉诸于教育行政部门、学校以及学校各级部门、组织、个人等，寻求利益得到保护、满足的一个过程</w:t>
      </w:r>
      <w:r>
        <w:rPr>
          <w:rFonts w:hint="eastAsia" w:ascii="宋体" w:hAnsi="宋体" w:cs="宋体"/>
          <w:b w:val="0"/>
          <w:bCs w:val="0"/>
          <w:kern w:val="0"/>
          <w:sz w:val="24"/>
          <w:szCs w:val="24"/>
          <w:vertAlign w:val="superscript"/>
          <w:lang w:val="en-US" w:eastAsia="zh-CN"/>
        </w:rPr>
        <w:t>[21]</w:t>
      </w:r>
      <w:r>
        <w:rPr>
          <w:rFonts w:hint="eastAsia" w:ascii="宋体" w:hAnsi="宋体" w:cs="宋体"/>
          <w:b w:val="0"/>
          <w:bCs w:val="0"/>
          <w:kern w:val="0"/>
          <w:sz w:val="24"/>
          <w:szCs w:val="24"/>
          <w:lang w:val="en-US" w:eastAsia="zh-CN"/>
        </w:rPr>
        <w:t>。傅国光在《建立教职工利益诉求机制与构建和谐校园》一文中重点论述了建立教职工利益诉求机制的必要性：满足教职工自身合法需求的需要；学校发展的现实需要；构建和谐校园的必然选择。他还在此基础上提出以下几条解决途径：充分发挥“教代会”、“工代会”的源头参与作用；建立每月舆情收集反馈制度；建立干群沟通制度；建立教职工利益监督制度；建立网络通讯诉求渠道。</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李宪伦，谭福开，周秉先，陈树春，宋海霞在《广西工学院教职工思想政治状况的调查与启示》一文中指出教职工对该学院的工作和本人最关注的问题依次是：（1）学院的内部津贴分配制度改革为54 %；（2）申请并获得硕士学位授予权单位为52 %；（3）住房和福利待遇问题为 42 %；（4）教学和科研及业务上的提高为40%；（5）学院扩招后的各方面保障问题为38 %；（6）提高职称和学历占28%；（7）师资严重紧缺问题为21%；（8）工作压力过大、负担过重和子女上学及就业问题各为17 %</w:t>
      </w:r>
      <w:r>
        <w:rPr>
          <w:rFonts w:hint="eastAsia" w:ascii="宋体" w:hAnsi="宋体" w:cs="宋体"/>
          <w:b w:val="0"/>
          <w:bCs w:val="0"/>
          <w:kern w:val="0"/>
          <w:sz w:val="24"/>
          <w:szCs w:val="24"/>
          <w:vertAlign w:val="superscript"/>
          <w:lang w:val="en-US" w:eastAsia="zh-CN"/>
        </w:rPr>
        <w:t>［22］</w:t>
      </w:r>
      <w:r>
        <w:rPr>
          <w:rFonts w:hint="eastAsia" w:ascii="宋体" w:hAnsi="宋体" w:cs="宋体"/>
          <w:b w:val="0"/>
          <w:bCs w:val="0"/>
          <w:kern w:val="0"/>
          <w:sz w:val="24"/>
          <w:szCs w:val="24"/>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总之，从现有研究来看，针对教职工状况及诉求的调查现状可以总结为以下几个方面：（1）研究对象多为女性。多数研究教职工状况的论文都是倾向于女教职工研究，认为女教职工作为弱势群体应加大关注力度。（2）研究内容多局限于身体健康等状况的研究，对教职工生活状况，思想状况的研究较为浅显，且针对思想状况的研究基本局限于政治态度，较少涉及人生观，价值观等。（3）教职工类别和层次多局限于高校教职工。从期刊网上搜索的关于教职工研究绝大多数是高校教职工，而对于职业院校教职工的研究还未见有相关成果发表。（4）研究结果服务的群体多局限于学校层面和教职工层面。而对于关涉教职工长远发展的教育行政部门和其他相关部门的建议很少出现。（5）现有文献基本上是单独研究教职工状况的某一方面，涉及的范围较窄，难以对其整体状况进行总体把握。（6）现有关于教职工状况的研究多局限于阐述事实，理论深度不够，也难以在研究的基础上提出建设性的建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ascii="华文宋体" w:hAnsi="华文宋体" w:eastAsia="华文宋体"/>
          <w:sz w:val="28"/>
          <w:szCs w:val="28"/>
        </w:rPr>
      </w:pPr>
      <w:r>
        <w:rPr>
          <w:rFonts w:hint="eastAsia" w:ascii="宋体" w:hAnsi="宋体" w:cs="宋体"/>
          <w:b w:val="0"/>
          <w:bCs w:val="0"/>
          <w:kern w:val="0"/>
          <w:sz w:val="24"/>
          <w:szCs w:val="24"/>
          <w:lang w:val="en-US" w:eastAsia="zh-CN"/>
        </w:rPr>
        <w:t>总体上说，未来教职工状况及其诉求的研究趋势是，通过大样本科学性调查研究，对涉及教职工思想、生活、工作等方面的状况进行全方位的研究，了解教职工在以上几个方面的核心诉求。分析预测教职工状况和诉求对社会可能产生的影响，提出相应解决策略等。</w:t>
      </w:r>
    </w:p>
    <w:p>
      <w:pPr>
        <w:spacing w:line="480" w:lineRule="exact"/>
        <w:jc w:val="left"/>
        <w:rPr>
          <w:rFonts w:ascii="华文宋体" w:hAnsi="华文宋体" w:eastAsia="华文宋体"/>
          <w:b/>
          <w:bCs/>
          <w:sz w:val="28"/>
          <w:szCs w:val="28"/>
        </w:rPr>
      </w:pPr>
    </w:p>
    <w:p>
      <w:pPr>
        <w:spacing w:line="480" w:lineRule="exact"/>
        <w:jc w:val="left"/>
        <w:rPr>
          <w:rFonts w:hint="eastAsia" w:ascii="宋体" w:hAnsi="宋体" w:eastAsia="宋体" w:cs="宋体"/>
          <w:b/>
          <w:bCs/>
          <w:sz w:val="21"/>
          <w:szCs w:val="21"/>
        </w:rPr>
      </w:pPr>
      <w:r>
        <w:rPr>
          <w:rFonts w:hint="eastAsia" w:ascii="宋体" w:hAnsi="宋体" w:eastAsia="宋体" w:cs="宋体"/>
          <w:b/>
          <w:bCs/>
          <w:sz w:val="21"/>
          <w:szCs w:val="21"/>
        </w:rPr>
        <w:t>参考文献：</w:t>
      </w:r>
    </w:p>
    <w:p>
      <w:pPr>
        <w:spacing w:line="440" w:lineRule="exact"/>
        <w:jc w:val="left"/>
        <w:rPr>
          <w:rFonts w:hint="eastAsia" w:ascii="宋体" w:hAnsi="宋体" w:eastAsia="宋体" w:cs="宋体"/>
          <w:sz w:val="21"/>
          <w:szCs w:val="21"/>
        </w:rPr>
      </w:pPr>
      <w:r>
        <w:rPr>
          <w:rFonts w:hint="eastAsia" w:ascii="宋体" w:hAnsi="宋体" w:eastAsia="宋体" w:cs="宋体"/>
          <w:sz w:val="21"/>
          <w:szCs w:val="21"/>
        </w:rPr>
        <w:t>[1][6][14][18]赵怀娟, 韩斌,王义芳,吴春玲. 安徽师范大学女教职工状况调查与分析[J] 安徽师范大学学报（人文社会科学版）, 2006年11月</w:t>
      </w:r>
    </w:p>
    <w:p>
      <w:pPr>
        <w:spacing w:line="440" w:lineRule="exact"/>
        <w:jc w:val="left"/>
        <w:rPr>
          <w:rFonts w:hint="eastAsia" w:ascii="宋体" w:hAnsi="宋体" w:eastAsia="宋体" w:cs="宋体"/>
          <w:sz w:val="21"/>
          <w:szCs w:val="21"/>
        </w:rPr>
      </w:pPr>
      <w:r>
        <w:rPr>
          <w:rFonts w:hint="eastAsia" w:ascii="宋体" w:hAnsi="宋体" w:eastAsia="宋体" w:cs="宋体"/>
          <w:sz w:val="21"/>
          <w:szCs w:val="21"/>
        </w:rPr>
        <w:t>[2][15]何丽清,梁新明,万丽丽. 高校女教职工状况调查与思考[J]. 关注_赣鄱教工 2011年Z2期</w:t>
      </w:r>
    </w:p>
    <w:p>
      <w:pPr>
        <w:spacing w:line="440" w:lineRule="exact"/>
        <w:jc w:val="left"/>
        <w:rPr>
          <w:rFonts w:hint="eastAsia" w:ascii="宋体" w:hAnsi="宋体" w:eastAsia="宋体" w:cs="宋体"/>
          <w:sz w:val="21"/>
          <w:szCs w:val="21"/>
        </w:rPr>
      </w:pPr>
      <w:r>
        <w:rPr>
          <w:rFonts w:hint="eastAsia" w:ascii="宋体" w:hAnsi="宋体" w:eastAsia="宋体" w:cs="宋体"/>
          <w:sz w:val="21"/>
          <w:szCs w:val="21"/>
        </w:rPr>
        <w:t>[3]张婷. 南京市某髙校教职工健康状况调查及影响因素分析[D] ,东南大学2015</w:t>
      </w:r>
    </w:p>
    <w:p>
      <w:pPr>
        <w:spacing w:line="440" w:lineRule="exact"/>
        <w:jc w:val="left"/>
        <w:rPr>
          <w:rFonts w:hint="eastAsia" w:ascii="宋体" w:hAnsi="宋体" w:eastAsia="宋体" w:cs="宋体"/>
          <w:sz w:val="21"/>
          <w:szCs w:val="21"/>
        </w:rPr>
      </w:pPr>
      <w:r>
        <w:rPr>
          <w:rFonts w:hint="eastAsia" w:ascii="宋体" w:hAnsi="宋体" w:eastAsia="宋体" w:cs="宋体"/>
          <w:sz w:val="21"/>
          <w:szCs w:val="21"/>
        </w:rPr>
        <w:t>[5]刘经纬,陈文慧,王志新.高校教职工思想状况分析及对策[J] . 思想政治教育研究, 2005年第1期</w:t>
      </w:r>
    </w:p>
    <w:p>
      <w:pPr>
        <w:spacing w:line="400" w:lineRule="exact"/>
        <w:jc w:val="left"/>
        <w:rPr>
          <w:rFonts w:hint="eastAsia" w:ascii="宋体" w:hAnsi="宋体" w:eastAsia="宋体" w:cs="宋体"/>
          <w:sz w:val="21"/>
          <w:szCs w:val="21"/>
        </w:rPr>
      </w:pPr>
      <w:r>
        <w:rPr>
          <w:rFonts w:hint="eastAsia" w:ascii="宋体" w:hAnsi="宋体" w:eastAsia="宋体" w:cs="宋体"/>
          <w:sz w:val="21"/>
          <w:szCs w:val="21"/>
        </w:rPr>
        <w:t>[7]HolgateStephenT,KomaroffAnthonyL,ManganDennis,etal.Chronicfatiguesyndrome:understandingacomplexillness.[J].Nature Reviews.Neuroscience,2011,129.</w:t>
      </w:r>
    </w:p>
    <w:p>
      <w:pPr>
        <w:spacing w:line="440" w:lineRule="exact"/>
        <w:jc w:val="left"/>
        <w:rPr>
          <w:rFonts w:hint="eastAsia" w:ascii="宋体" w:hAnsi="宋体" w:eastAsia="宋体" w:cs="宋体"/>
          <w:sz w:val="21"/>
          <w:szCs w:val="21"/>
        </w:rPr>
      </w:pPr>
      <w:r>
        <w:rPr>
          <w:rFonts w:hint="eastAsia" w:ascii="宋体" w:hAnsi="宋体" w:eastAsia="宋体" w:cs="宋体"/>
          <w:sz w:val="21"/>
          <w:szCs w:val="21"/>
        </w:rPr>
        <w:t>[8]朱宪, 胡梅, 彭晓霞,侯婕, 忻平. 北京某高校教职工健康状况调查和分析［J］ 首都医科大学学报 2012年6月第33卷第3期</w:t>
      </w:r>
    </w:p>
    <w:p>
      <w:pPr>
        <w:spacing w:line="440" w:lineRule="exact"/>
        <w:jc w:val="left"/>
        <w:rPr>
          <w:rFonts w:hint="eastAsia" w:ascii="宋体" w:hAnsi="宋体" w:eastAsia="宋体" w:cs="宋体"/>
          <w:sz w:val="21"/>
          <w:szCs w:val="21"/>
        </w:rPr>
      </w:pPr>
      <w:r>
        <w:rPr>
          <w:rFonts w:hint="eastAsia" w:ascii="宋体" w:hAnsi="宋体" w:eastAsia="宋体" w:cs="宋体"/>
          <w:sz w:val="21"/>
          <w:szCs w:val="21"/>
        </w:rPr>
        <w:t>[4][9][12]李志荣.江苏省高校教职工健康状况与体育生活方式的调查研究[D],苏州大学2008年3月</w:t>
      </w:r>
    </w:p>
    <w:p>
      <w:pPr>
        <w:spacing w:line="440" w:lineRule="exact"/>
        <w:rPr>
          <w:rFonts w:hint="eastAsia" w:ascii="宋体" w:hAnsi="宋体" w:eastAsia="宋体" w:cs="宋体"/>
          <w:sz w:val="21"/>
          <w:szCs w:val="21"/>
        </w:rPr>
      </w:pPr>
      <w:r>
        <w:rPr>
          <w:rFonts w:hint="eastAsia" w:ascii="宋体" w:hAnsi="宋体" w:eastAsia="宋体" w:cs="宋体"/>
          <w:sz w:val="21"/>
          <w:szCs w:val="21"/>
        </w:rPr>
        <w:t>[10]于威,李敏,吕凤萍.高校教师健康体检1246例结果分析[J].中国误诊学杂志,2008,11:27.</w:t>
      </w:r>
    </w:p>
    <w:p>
      <w:pPr>
        <w:spacing w:line="440" w:lineRule="exact"/>
        <w:rPr>
          <w:rFonts w:hint="eastAsia" w:ascii="宋体" w:hAnsi="宋体" w:eastAsia="宋体" w:cs="宋体"/>
          <w:sz w:val="21"/>
          <w:szCs w:val="21"/>
        </w:rPr>
      </w:pPr>
      <w:r>
        <w:rPr>
          <w:rFonts w:hint="eastAsia" w:ascii="宋体" w:hAnsi="宋体" w:eastAsia="宋体" w:cs="宋体"/>
          <w:sz w:val="21"/>
          <w:szCs w:val="21"/>
        </w:rPr>
        <w:t>[11]辛青.某高校教职工健康状况及影响因素研究[D].山东大学,2011.</w:t>
      </w:r>
    </w:p>
    <w:p>
      <w:pPr>
        <w:spacing w:line="440" w:lineRule="exact"/>
        <w:rPr>
          <w:rFonts w:hint="eastAsia" w:ascii="宋体" w:hAnsi="宋体" w:eastAsia="宋体" w:cs="宋体"/>
          <w:sz w:val="21"/>
          <w:szCs w:val="21"/>
        </w:rPr>
      </w:pPr>
      <w:r>
        <w:rPr>
          <w:rFonts w:hint="eastAsia" w:ascii="宋体" w:hAnsi="宋体" w:eastAsia="宋体" w:cs="宋体"/>
          <w:sz w:val="21"/>
          <w:szCs w:val="21"/>
        </w:rPr>
        <w:t>[13]张凤梅,徐恒戬.某高校教职工健康状况分析［J］,现代预防医学， 2009年第36卷第1期</w:t>
      </w:r>
    </w:p>
    <w:p>
      <w:pPr>
        <w:spacing w:line="440" w:lineRule="exact"/>
        <w:rPr>
          <w:rFonts w:hint="eastAsia" w:ascii="宋体" w:hAnsi="宋体" w:eastAsia="宋体" w:cs="宋体"/>
          <w:sz w:val="21"/>
          <w:szCs w:val="21"/>
        </w:rPr>
      </w:pPr>
      <w:r>
        <w:rPr>
          <w:rFonts w:hint="eastAsia" w:ascii="宋体" w:hAnsi="宋体" w:eastAsia="宋体" w:cs="宋体"/>
          <w:sz w:val="21"/>
          <w:szCs w:val="21"/>
        </w:rPr>
        <w:t>[16] 吴凤起,体育生活方式与健康[J]</w:t>
      </w:r>
      <w:r>
        <w:rPr>
          <w:rFonts w:hint="eastAsia" w:ascii="宋体" w:hAnsi="宋体" w:cs="宋体"/>
          <w:sz w:val="21"/>
          <w:szCs w:val="21"/>
          <w:lang w:val="en-US" w:eastAsia="zh-CN"/>
        </w:rPr>
        <w:t>.</w:t>
      </w:r>
      <w:r>
        <w:rPr>
          <w:rFonts w:hint="eastAsia" w:ascii="宋体" w:hAnsi="宋体" w:eastAsia="宋体" w:cs="宋体"/>
          <w:sz w:val="21"/>
          <w:szCs w:val="21"/>
        </w:rPr>
        <w:t>体育与科学, 2001,24（9）:36-37</w:t>
      </w:r>
    </w:p>
    <w:p>
      <w:pPr>
        <w:widowControl/>
        <w:autoSpaceDE w:val="0"/>
        <w:autoSpaceDN w:val="0"/>
        <w:adjustRightInd w:val="0"/>
        <w:spacing w:line="440" w:lineRule="exact"/>
        <w:jc w:val="left"/>
        <w:rPr>
          <w:rFonts w:hint="eastAsia" w:ascii="宋体" w:hAnsi="宋体" w:eastAsia="宋体" w:cs="宋体"/>
          <w:color w:val="000000"/>
          <w:sz w:val="21"/>
          <w:szCs w:val="21"/>
        </w:rPr>
      </w:pPr>
      <w:r>
        <w:rPr>
          <w:rFonts w:hint="eastAsia" w:ascii="宋体" w:hAnsi="宋体" w:eastAsia="宋体" w:cs="宋体"/>
          <w:sz w:val="21"/>
          <w:szCs w:val="21"/>
        </w:rPr>
        <w:t>[17]</w:t>
      </w:r>
      <w:r>
        <w:rPr>
          <w:rFonts w:hint="eastAsia" w:ascii="宋体" w:hAnsi="宋体" w:eastAsia="宋体" w:cs="宋体"/>
          <w:color w:val="000000"/>
          <w:sz w:val="21"/>
          <w:szCs w:val="21"/>
        </w:rPr>
        <w:t>周君华, 潘合祺. 鲁东大学教职工健康状况、生活方式与体育锻炼的调查分析[J] ,鲁东大学学报（自然科学版）,2007,23（4）:380-384</w:t>
      </w:r>
    </w:p>
    <w:p>
      <w:pPr>
        <w:widowControl/>
        <w:autoSpaceDE w:val="0"/>
        <w:autoSpaceDN w:val="0"/>
        <w:adjustRightInd w:val="0"/>
        <w:spacing w:line="440" w:lineRule="exact"/>
        <w:jc w:val="left"/>
        <w:rPr>
          <w:rFonts w:hint="eastAsia" w:ascii="宋体" w:hAnsi="宋体" w:eastAsia="宋体" w:cs="宋体"/>
          <w:sz w:val="21"/>
          <w:szCs w:val="21"/>
        </w:rPr>
      </w:pPr>
      <w:r>
        <w:rPr>
          <w:rFonts w:hint="eastAsia" w:ascii="宋体" w:hAnsi="宋体" w:eastAsia="宋体" w:cs="宋体"/>
          <w:color w:val="000000"/>
          <w:sz w:val="21"/>
          <w:szCs w:val="21"/>
        </w:rPr>
        <w:t>[19]</w:t>
      </w:r>
      <w:r>
        <w:rPr>
          <w:rFonts w:hint="eastAsia" w:ascii="宋体" w:hAnsi="宋体" w:eastAsia="宋体" w:cs="宋体"/>
          <w:sz w:val="21"/>
          <w:szCs w:val="21"/>
        </w:rPr>
        <w:t xml:space="preserve"> 宋小兰，宋全德. 高校教职工党员思想状况调查与分析[J], 四川师范学院学报（哲学社会科学版）,2000年11月</w:t>
      </w:r>
    </w:p>
    <w:p>
      <w:pPr>
        <w:widowControl/>
        <w:autoSpaceDE w:val="0"/>
        <w:autoSpaceDN w:val="0"/>
        <w:adjustRightInd w:val="0"/>
        <w:spacing w:line="440" w:lineRule="exact"/>
        <w:jc w:val="left"/>
        <w:rPr>
          <w:rFonts w:hint="eastAsia" w:ascii="宋体" w:hAnsi="宋体" w:eastAsia="宋体" w:cs="宋体"/>
          <w:sz w:val="21"/>
          <w:szCs w:val="21"/>
        </w:rPr>
      </w:pPr>
      <w:r>
        <w:rPr>
          <w:rFonts w:hint="eastAsia" w:ascii="宋体" w:hAnsi="宋体" w:eastAsia="宋体" w:cs="宋体"/>
          <w:sz w:val="21"/>
          <w:szCs w:val="21"/>
        </w:rPr>
        <w:t>[20] 西安航专校工会. 青年教职工状况调查报告[J],西安航空技术高等专科学校学报,2000年12月</w:t>
      </w:r>
    </w:p>
    <w:p>
      <w:pPr>
        <w:spacing w:line="440" w:lineRule="exact"/>
        <w:rPr>
          <w:rFonts w:hint="eastAsia" w:ascii="宋体" w:hAnsi="宋体" w:eastAsia="宋体" w:cs="宋体"/>
          <w:color w:val="000000"/>
          <w:sz w:val="21"/>
          <w:szCs w:val="21"/>
        </w:rPr>
      </w:pPr>
      <w:r>
        <w:rPr>
          <w:rFonts w:hint="eastAsia" w:ascii="宋体" w:hAnsi="宋体" w:eastAsia="宋体" w:cs="宋体"/>
          <w:color w:val="000000"/>
          <w:sz w:val="21"/>
          <w:szCs w:val="21"/>
        </w:rPr>
        <w:t>[21]傅国光.建立教职工利益诉求机制与构建和谐校园［J］</w:t>
      </w:r>
      <w:r>
        <w:rPr>
          <w:rFonts w:hint="eastAsia" w:ascii="宋体" w:hAnsi="宋体" w:cs="宋体"/>
          <w:color w:val="000000"/>
          <w:sz w:val="21"/>
          <w:szCs w:val="21"/>
          <w:lang w:val="en-US" w:eastAsia="zh-CN"/>
        </w:rPr>
        <w:t>.</w:t>
      </w:r>
      <w:r>
        <w:rPr>
          <w:rFonts w:hint="eastAsia" w:ascii="宋体" w:hAnsi="宋体" w:eastAsia="宋体" w:cs="宋体"/>
          <w:color w:val="000000"/>
          <w:sz w:val="21"/>
          <w:szCs w:val="21"/>
        </w:rPr>
        <w:t>工会论坛, 2012年11月</w:t>
      </w:r>
    </w:p>
    <w:p>
      <w:pPr>
        <w:widowControl/>
        <w:autoSpaceDE w:val="0"/>
        <w:autoSpaceDN w:val="0"/>
        <w:adjustRightInd w:val="0"/>
        <w:spacing w:line="440" w:lineRule="exact"/>
        <w:jc w:val="left"/>
        <w:rPr>
          <w:rFonts w:ascii="华文宋体" w:hAnsi="华文宋体" w:eastAsia="华文宋体"/>
          <w:color w:val="000000"/>
          <w:szCs w:val="21"/>
        </w:rPr>
      </w:pPr>
      <w:r>
        <w:rPr>
          <w:rFonts w:hint="eastAsia" w:ascii="宋体" w:hAnsi="宋体" w:eastAsia="宋体" w:cs="宋体"/>
          <w:sz w:val="21"/>
          <w:szCs w:val="21"/>
        </w:rPr>
        <w:t>[22]李宪伦,谭福开,周秉先,陈树春,宋海霞.广西工学院教职工思想政治状况的调查与启示[J]</w:t>
      </w:r>
      <w:r>
        <w:rPr>
          <w:rFonts w:hint="eastAsia" w:ascii="宋体" w:hAnsi="宋体" w:cs="宋体"/>
          <w:sz w:val="21"/>
          <w:szCs w:val="21"/>
          <w:lang w:val="en-US" w:eastAsia="zh-CN"/>
        </w:rPr>
        <w:t>.</w:t>
      </w:r>
      <w:r>
        <w:rPr>
          <w:rFonts w:hint="eastAsia" w:ascii="宋体" w:hAnsi="宋体" w:eastAsia="宋体" w:cs="宋体"/>
          <w:sz w:val="21"/>
          <w:szCs w:val="21"/>
        </w:rPr>
        <w:t xml:space="preserve"> 高教论坛, 2002年10月第5期 </w:t>
      </w:r>
      <w:r>
        <w:rPr>
          <w:rFonts w:ascii="华文宋体" w:hAnsi="华文宋体" w:eastAsia="华文宋体"/>
          <w:szCs w:val="21"/>
        </w:rPr>
        <w:t xml:space="preserve"> </w:t>
      </w:r>
    </w:p>
    <w:p>
      <w:pPr>
        <w:widowControl/>
        <w:autoSpaceDE w:val="0"/>
        <w:autoSpaceDN w:val="0"/>
        <w:adjustRightInd w:val="0"/>
        <w:spacing w:after="240" w:line="480" w:lineRule="exact"/>
        <w:jc w:val="left"/>
        <w:rPr>
          <w:rFonts w:ascii="华文宋体" w:hAnsi="华文宋体" w:eastAsia="华文宋体"/>
          <w:color w:val="000000"/>
        </w:rPr>
      </w:pPr>
    </w:p>
    <w:p>
      <w:pPr>
        <w:spacing w:line="480" w:lineRule="exact"/>
        <w:rPr>
          <w:rFonts w:ascii="华文宋体" w:hAnsi="华文宋体" w:eastAsia="华文宋体"/>
        </w:rPr>
      </w:pPr>
    </w:p>
    <w:p>
      <w:pPr>
        <w:spacing w:after="312" w:afterLines="100" w:line="480" w:lineRule="exact"/>
        <w:jc w:val="center"/>
        <w:rPr>
          <w:rFonts w:hint="eastAsia" w:ascii="华文宋体" w:hAnsi="华文宋体" w:eastAsia="华文宋体" w:cs="宋体"/>
          <w:b/>
          <w:bCs/>
          <w:kern w:val="0"/>
          <w:sz w:val="28"/>
          <w:szCs w:val="28"/>
          <w:lang w:val="en-US" w:eastAsia="zh-CN"/>
        </w:rPr>
      </w:pPr>
      <w:r>
        <w:rPr>
          <w:rFonts w:hint="eastAsia" w:ascii="华文宋体" w:hAnsi="华文宋体" w:eastAsia="华文宋体" w:cs="宋体"/>
          <w:b/>
          <w:bCs/>
          <w:kern w:val="0"/>
          <w:sz w:val="28"/>
          <w:szCs w:val="28"/>
          <w:lang w:val="en-US" w:eastAsia="zh-CN"/>
        </w:rPr>
        <w:t>需求层次理论研究：课题调研的分析框架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1943年，美国著名心理学家亚伯拉罕•马斯洛提出人类需求层次理论，该理论讲人类的需求像阶梯一样分为5种：生理需求、安全需求、情感需求、尊重需求和自我实现需求。</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bCs/>
          <w:kern w:val="0"/>
          <w:sz w:val="24"/>
          <w:szCs w:val="24"/>
          <w:lang w:val="en-US" w:eastAsia="zh-CN"/>
        </w:rPr>
      </w:pPr>
      <w:r>
        <w:rPr>
          <w:rFonts w:hint="eastAsia" w:ascii="宋体" w:hAnsi="宋体" w:cs="宋体"/>
          <w:b/>
          <w:bCs/>
          <w:kern w:val="0"/>
          <w:sz w:val="24"/>
          <w:szCs w:val="24"/>
          <w:lang w:val="en-US" w:eastAsia="zh-CN"/>
        </w:rPr>
        <w:t>一、生理需求</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这是人类维持自身生存的最基本要求，包括饥、渴、衣、住、性方面的要求。如果这些需求得不到满足，人类的生存就成为了问题。在这个意义上说，生理需求是推动人们行动最首要的动力。马斯洛认为，只有这些最基本的需求满足到维持生存所必需的程度后，其他的需求才能成为新的激励因素，而到了此时，这些已相对满足的需求也就不再成为激励因素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bCs/>
          <w:kern w:val="0"/>
          <w:sz w:val="24"/>
          <w:szCs w:val="24"/>
          <w:lang w:val="en-US" w:eastAsia="zh-CN"/>
        </w:rPr>
      </w:pPr>
      <w:r>
        <w:rPr>
          <w:rFonts w:hint="eastAsia" w:ascii="宋体" w:hAnsi="宋体" w:cs="宋体"/>
          <w:b/>
          <w:bCs/>
          <w:kern w:val="0"/>
          <w:sz w:val="24"/>
          <w:szCs w:val="24"/>
          <w:lang w:val="en-US" w:eastAsia="zh-CN"/>
        </w:rPr>
        <w:t>二、安全需求</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这是人类要求保障自身安全、摆脱事业和丧失财产威胁、避免职业病的侵袭、接触严酷的监督等方面的需求。主要包括：人身安全、健康保障、资源所有性、财产所有性、道德保障、工作职位保障家庭安全等。马斯洛认为，整个有机体是一个追求</w:t>
      </w:r>
      <w:r>
        <w:rPr>
          <w:rFonts w:hint="eastAsia" w:ascii="宋体" w:hAnsi="宋体" w:cs="宋体"/>
          <w:b w:val="0"/>
          <w:bCs w:val="0"/>
          <w:kern w:val="0"/>
          <w:sz w:val="24"/>
          <w:szCs w:val="24"/>
          <w:lang w:val="en-US" w:eastAsia="zh-CN"/>
        </w:rPr>
        <w:fldChar w:fldCharType="begin"/>
      </w:r>
      <w:r>
        <w:rPr>
          <w:rFonts w:hint="eastAsia" w:ascii="宋体" w:hAnsi="宋体" w:cs="宋体"/>
          <w:b w:val="0"/>
          <w:bCs w:val="0"/>
          <w:kern w:val="0"/>
          <w:sz w:val="24"/>
          <w:szCs w:val="24"/>
          <w:lang w:val="en-US" w:eastAsia="zh-CN"/>
        </w:rPr>
        <w:instrText xml:space="preserve"> HYPERLINK "http://baike.baidu.com/subview/4547/8036693.htm" </w:instrText>
      </w:r>
      <w:r>
        <w:rPr>
          <w:rFonts w:hint="eastAsia" w:ascii="宋体" w:hAnsi="宋体" w:cs="宋体"/>
          <w:b w:val="0"/>
          <w:bCs w:val="0"/>
          <w:kern w:val="0"/>
          <w:sz w:val="24"/>
          <w:szCs w:val="24"/>
          <w:lang w:val="en-US" w:eastAsia="zh-CN"/>
        </w:rPr>
        <w:fldChar w:fldCharType="separate"/>
      </w:r>
      <w:r>
        <w:rPr>
          <w:rFonts w:hint="eastAsia" w:ascii="宋体" w:hAnsi="宋体" w:cs="宋体"/>
          <w:b w:val="0"/>
          <w:bCs w:val="0"/>
          <w:kern w:val="0"/>
          <w:sz w:val="24"/>
          <w:szCs w:val="24"/>
          <w:lang w:val="en-US" w:eastAsia="zh-CN"/>
        </w:rPr>
        <w:t>安全</w:t>
      </w:r>
      <w:r>
        <w:rPr>
          <w:rFonts w:hint="eastAsia" w:ascii="宋体" w:hAnsi="宋体" w:cs="宋体"/>
          <w:b w:val="0"/>
          <w:bCs w:val="0"/>
          <w:kern w:val="0"/>
          <w:sz w:val="24"/>
          <w:szCs w:val="24"/>
          <w:lang w:val="en-US" w:eastAsia="zh-CN"/>
        </w:rPr>
        <w:fldChar w:fldCharType="end"/>
      </w:r>
      <w:r>
        <w:rPr>
          <w:rFonts w:hint="eastAsia" w:ascii="宋体" w:hAnsi="宋体" w:cs="宋体"/>
          <w:b w:val="0"/>
          <w:bCs w:val="0"/>
          <w:kern w:val="0"/>
          <w:sz w:val="24"/>
          <w:szCs w:val="24"/>
          <w:lang w:val="en-US" w:eastAsia="zh-CN"/>
        </w:rPr>
        <w:t>的机制，人的感受器官、效应器官、智能和其他能量主要是寻求安全的工具，甚至可以把科学和人生观都看成是满足安全需求的一部分。当然，当这种需求一旦相对满足后，也就不再成为激励因素了。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bCs/>
          <w:kern w:val="0"/>
          <w:sz w:val="24"/>
          <w:szCs w:val="24"/>
          <w:lang w:val="en-US" w:eastAsia="zh-CN"/>
        </w:rPr>
      </w:pPr>
      <w:r>
        <w:rPr>
          <w:rFonts w:hint="eastAsia" w:ascii="宋体" w:hAnsi="宋体" w:cs="宋体"/>
          <w:b/>
          <w:bCs/>
          <w:kern w:val="0"/>
          <w:sz w:val="24"/>
          <w:szCs w:val="24"/>
          <w:lang w:val="en-US" w:eastAsia="zh-CN"/>
        </w:rPr>
        <w:t>三、情感需求</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这一层次的需求包含两个方面的内容，即归属和爱的需求。</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一是归属的需求，即人都有一种归属于一个群体的感情，希望成为群体中的一员并相互关心和照顾。感情上的需求比生理上的需求来的细致，它和一个人的生理特性、经历、教育、宗教信仰都有关系。</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二是爱的需求，即人人都需求伙伴之间、同事之间的关系融洽或保持友谊和忠诚；人人都希望得到爱情，希望爱别人，也渴望接受别人的爱。</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bCs/>
          <w:kern w:val="0"/>
          <w:sz w:val="24"/>
          <w:szCs w:val="24"/>
          <w:lang w:val="en-US" w:eastAsia="zh-CN"/>
        </w:rPr>
      </w:pPr>
      <w:r>
        <w:rPr>
          <w:rFonts w:hint="eastAsia" w:ascii="宋体" w:hAnsi="宋体" w:cs="宋体"/>
          <w:b/>
          <w:bCs/>
          <w:kern w:val="0"/>
          <w:sz w:val="24"/>
          <w:szCs w:val="24"/>
          <w:lang w:val="en-US" w:eastAsia="zh-CN"/>
        </w:rPr>
        <w:t>四、尊重需求</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人人都希望自己有稳定的社会地位，要求个人的能力和成就得到社会的承认。尊重的需求又可分为内部尊重和外部尊重。内部尊重是指一个人希望在各种不同情境中有实力、能胜任、充满信心、能独立自主。总之，内部尊重就是人的自尊。外部尊重是指一个人希望有地位、有威信，受到别人的尊重、信赖和高度评价。马斯洛认为，尊重需求得到满足，能使人对自己充满信心，对社会满腔热情，体验到自己活着的用处价值</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bCs/>
          <w:kern w:val="0"/>
          <w:sz w:val="24"/>
          <w:szCs w:val="24"/>
          <w:lang w:val="en-US" w:eastAsia="zh-CN"/>
        </w:rPr>
      </w:pPr>
      <w:r>
        <w:rPr>
          <w:rFonts w:hint="eastAsia" w:ascii="宋体" w:hAnsi="宋体" w:cs="宋体"/>
          <w:b/>
          <w:bCs/>
          <w:kern w:val="0"/>
          <w:sz w:val="24"/>
          <w:szCs w:val="24"/>
          <w:lang w:val="en-US" w:eastAsia="zh-CN"/>
        </w:rPr>
        <w:t>五、自我实现需求</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自我实现的需求是最高层次的需求，是指实现个人理想、抱负，发挥个人的能力到最大程度，达到自我实现境界的人，接受自己也接受他人，解决问题能力增强，自觉性提高，善于独立处事，要求不受打扰地独处，完成与自己的能力相称的一切事情的需求。也就是说，人必须干称职的工作，这样才会使他们感到最大的快乐。马斯洛提出，为满足自我实现需求所采取的途径是因人而异的。自我实现的需求是在努力实现自己的潜力，使自己越来越成为自己所期望的人物。</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马斯洛的需求层次理论包含以下几个基本要点：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1. 一般来说，五种需求是从低到高，按层级逐渐递升，低层次的需求满足了，才会向更高层次的需求发展，但这样的次序不是完全固定的，在某些特殊情况下是可以改变的。</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2.  同一时期，一个人可能有几种需求，但每一时期总有一种需求占支配地位，对行为起决定作用。任何一种需求都不会因为更高层次需求的发展而消失。各层次的需求相互依赖和重叠，高层次的需求发展后，低层次的需求仍然存在，只是对行为影响的程度大大减小。</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3.  马斯洛和其他的行为心理学家都认为，一个国家多数人的需求层次结构，是同这个国家的经济发展水平、科技发展水平、文化和人民受教育的程度直接相关的。在发展中国家，生理需求和安全需求占主导的人数比例较大，而高级需求占主导的人数比例较小；在发达国家，则刚好相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马斯洛的需求层次理论把人的基本需求分为五大类，即生理需求、安全需求、社交需求、尊重需求和自我实现需求。因此，在研究教职工的状况时应充分不同的个体在不同时期占主要地位的需求，并通过各种情况去满足不同层次的需求，只有这样才能更好地提高教职工的工作质量和效率。鉴于此，教职工状况及其诉求调查研究的分析框架则根据需求层次理论进行构建。见表1.</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br w:type="page"/>
      </w:r>
      <w:r>
        <w:rPr>
          <w:rFonts w:hint="eastAsia" w:ascii="宋体" w:hAnsi="宋体" w:cs="宋体"/>
          <w:b w:val="0"/>
          <w:bCs w:val="0"/>
          <w:kern w:val="0"/>
          <w:sz w:val="21"/>
          <w:szCs w:val="21"/>
          <w:lang w:val="en-US" w:eastAsia="zh-CN"/>
        </w:rPr>
        <w:t>表1.基于需求层次理论的职业院校教职工状况和诉求分析框架</w:t>
      </w:r>
    </w:p>
    <w:tbl>
      <w:tblPr>
        <w:tblStyle w:val="14"/>
        <w:tblW w:w="81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7"/>
        <w:gridCol w:w="1991"/>
        <w:gridCol w:w="51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98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序号</w:t>
            </w:r>
          </w:p>
        </w:tc>
        <w:tc>
          <w:tcPr>
            <w:tcW w:w="1991"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一级项目</w:t>
            </w:r>
          </w:p>
        </w:tc>
        <w:tc>
          <w:tcPr>
            <w:tcW w:w="512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二级指标项目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98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center"/>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1</w:t>
            </w:r>
          </w:p>
        </w:tc>
        <w:tc>
          <w:tcPr>
            <w:tcW w:w="1991"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生理需求</w:t>
            </w:r>
          </w:p>
        </w:tc>
        <w:tc>
          <w:tcPr>
            <w:tcW w:w="512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身体健康状况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2" w:hRule="atLeast"/>
          <w:jc w:val="center"/>
        </w:trPr>
        <w:tc>
          <w:tcPr>
            <w:tcW w:w="987"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center"/>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2</w:t>
            </w:r>
          </w:p>
        </w:tc>
        <w:tc>
          <w:tcPr>
            <w:tcW w:w="1991"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安全需求</w:t>
            </w:r>
          </w:p>
        </w:tc>
        <w:tc>
          <w:tcPr>
            <w:tcW w:w="512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工作压力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9" w:hRule="atLeast"/>
          <w:jc w:val="center"/>
        </w:trPr>
        <w:tc>
          <w:tcPr>
            <w:tcW w:w="987"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center"/>
              <w:textAlignment w:val="auto"/>
              <w:outlineLvl w:val="9"/>
              <w:rPr>
                <w:rFonts w:hint="eastAsia" w:ascii="宋体" w:hAnsi="宋体" w:cs="宋体"/>
                <w:b w:val="0"/>
                <w:bCs w:val="0"/>
                <w:kern w:val="0"/>
                <w:sz w:val="24"/>
                <w:szCs w:val="24"/>
                <w:lang w:val="en-US" w:eastAsia="zh-CN"/>
              </w:rPr>
            </w:pPr>
          </w:p>
        </w:tc>
        <w:tc>
          <w:tcPr>
            <w:tcW w:w="1991"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cs="宋体"/>
                <w:b w:val="0"/>
                <w:bCs w:val="0"/>
                <w:kern w:val="0"/>
                <w:sz w:val="24"/>
                <w:szCs w:val="24"/>
                <w:lang w:val="en-US" w:eastAsia="zh-CN"/>
              </w:rPr>
            </w:pPr>
          </w:p>
        </w:tc>
        <w:tc>
          <w:tcPr>
            <w:tcW w:w="512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职业生涯发展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9" w:hRule="atLeast"/>
          <w:jc w:val="center"/>
        </w:trPr>
        <w:tc>
          <w:tcPr>
            <w:tcW w:w="987"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center"/>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3</w:t>
            </w:r>
          </w:p>
        </w:tc>
        <w:tc>
          <w:tcPr>
            <w:tcW w:w="1991"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情感需求</w:t>
            </w:r>
          </w:p>
        </w:tc>
        <w:tc>
          <w:tcPr>
            <w:tcW w:w="512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工作环境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9" w:hRule="atLeast"/>
          <w:jc w:val="center"/>
        </w:trPr>
        <w:tc>
          <w:tcPr>
            <w:tcW w:w="987"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center"/>
              <w:textAlignment w:val="auto"/>
              <w:outlineLvl w:val="9"/>
              <w:rPr>
                <w:rFonts w:hint="eastAsia" w:ascii="宋体" w:hAnsi="宋体" w:cs="宋体"/>
                <w:b w:val="0"/>
                <w:bCs w:val="0"/>
                <w:kern w:val="0"/>
                <w:sz w:val="24"/>
                <w:szCs w:val="24"/>
                <w:lang w:val="en-US" w:eastAsia="zh-CN"/>
              </w:rPr>
            </w:pPr>
          </w:p>
        </w:tc>
        <w:tc>
          <w:tcPr>
            <w:tcW w:w="1991"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cs="宋体"/>
                <w:b w:val="0"/>
                <w:bCs w:val="0"/>
                <w:kern w:val="0"/>
                <w:sz w:val="24"/>
                <w:szCs w:val="24"/>
                <w:lang w:val="en-US" w:eastAsia="zh-CN"/>
              </w:rPr>
            </w:pPr>
          </w:p>
        </w:tc>
        <w:tc>
          <w:tcPr>
            <w:tcW w:w="512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人际关系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9" w:hRule="atLeast"/>
          <w:jc w:val="center"/>
        </w:trPr>
        <w:tc>
          <w:tcPr>
            <w:tcW w:w="987"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center"/>
              <w:textAlignment w:val="auto"/>
              <w:outlineLvl w:val="9"/>
              <w:rPr>
                <w:rFonts w:hint="eastAsia" w:ascii="宋体" w:hAnsi="宋体" w:cs="宋体"/>
                <w:b w:val="0"/>
                <w:bCs w:val="0"/>
                <w:kern w:val="0"/>
                <w:sz w:val="24"/>
                <w:szCs w:val="24"/>
                <w:lang w:val="en-US" w:eastAsia="zh-CN"/>
              </w:rPr>
            </w:pPr>
          </w:p>
        </w:tc>
        <w:tc>
          <w:tcPr>
            <w:tcW w:w="1991"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cs="宋体"/>
                <w:b w:val="0"/>
                <w:bCs w:val="0"/>
                <w:kern w:val="0"/>
                <w:sz w:val="24"/>
                <w:szCs w:val="24"/>
                <w:lang w:val="en-US" w:eastAsia="zh-CN"/>
              </w:rPr>
            </w:pPr>
          </w:p>
        </w:tc>
        <w:tc>
          <w:tcPr>
            <w:tcW w:w="512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自我优越感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9" w:hRule="atLeast"/>
          <w:jc w:val="center"/>
        </w:trPr>
        <w:tc>
          <w:tcPr>
            <w:tcW w:w="987"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center"/>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4</w:t>
            </w:r>
          </w:p>
        </w:tc>
        <w:tc>
          <w:tcPr>
            <w:tcW w:w="1991"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尊重需求</w:t>
            </w:r>
          </w:p>
        </w:tc>
        <w:tc>
          <w:tcPr>
            <w:tcW w:w="512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外界认同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7" w:hRule="atLeast"/>
          <w:jc w:val="center"/>
        </w:trPr>
        <w:tc>
          <w:tcPr>
            <w:tcW w:w="987"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center"/>
              <w:textAlignment w:val="auto"/>
              <w:outlineLvl w:val="9"/>
              <w:rPr>
                <w:rFonts w:hint="eastAsia" w:ascii="宋体" w:hAnsi="宋体" w:cs="宋体"/>
                <w:b w:val="0"/>
                <w:bCs w:val="0"/>
                <w:kern w:val="0"/>
                <w:sz w:val="24"/>
                <w:szCs w:val="24"/>
                <w:lang w:val="en-US" w:eastAsia="zh-CN"/>
              </w:rPr>
            </w:pPr>
          </w:p>
        </w:tc>
        <w:tc>
          <w:tcPr>
            <w:tcW w:w="1991"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cs="宋体"/>
                <w:b w:val="0"/>
                <w:bCs w:val="0"/>
                <w:kern w:val="0"/>
                <w:sz w:val="24"/>
                <w:szCs w:val="24"/>
                <w:lang w:val="en-US" w:eastAsia="zh-CN"/>
              </w:rPr>
            </w:pPr>
          </w:p>
        </w:tc>
        <w:tc>
          <w:tcPr>
            <w:tcW w:w="512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福利待遇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7" w:hRule="atLeast"/>
          <w:jc w:val="center"/>
        </w:trPr>
        <w:tc>
          <w:tcPr>
            <w:tcW w:w="987"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center"/>
              <w:textAlignment w:val="auto"/>
              <w:outlineLvl w:val="9"/>
              <w:rPr>
                <w:rFonts w:hint="eastAsia" w:ascii="宋体" w:hAnsi="宋体" w:cs="宋体"/>
                <w:b w:val="0"/>
                <w:bCs w:val="0"/>
                <w:kern w:val="0"/>
                <w:sz w:val="24"/>
                <w:szCs w:val="24"/>
                <w:lang w:val="en-US" w:eastAsia="zh-CN"/>
              </w:rPr>
            </w:pPr>
          </w:p>
        </w:tc>
        <w:tc>
          <w:tcPr>
            <w:tcW w:w="1991"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cs="宋体"/>
                <w:b w:val="0"/>
                <w:bCs w:val="0"/>
                <w:kern w:val="0"/>
                <w:sz w:val="24"/>
                <w:szCs w:val="24"/>
                <w:lang w:val="en-US" w:eastAsia="zh-CN"/>
              </w:rPr>
            </w:pPr>
          </w:p>
        </w:tc>
        <w:tc>
          <w:tcPr>
            <w:tcW w:w="512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工资收入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jc w:val="center"/>
        </w:trPr>
        <w:tc>
          <w:tcPr>
            <w:tcW w:w="987"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center"/>
              <w:textAlignment w:val="auto"/>
              <w:outlineLvl w:val="9"/>
              <w:rPr>
                <w:rFonts w:hint="eastAsia" w:ascii="宋体" w:hAnsi="宋体" w:cs="宋体"/>
                <w:b w:val="0"/>
                <w:bCs w:val="0"/>
                <w:kern w:val="0"/>
                <w:sz w:val="24"/>
                <w:szCs w:val="24"/>
                <w:lang w:val="en-US" w:eastAsia="zh-CN"/>
              </w:rPr>
            </w:pPr>
          </w:p>
        </w:tc>
        <w:tc>
          <w:tcPr>
            <w:tcW w:w="1991"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cs="宋体"/>
                <w:b w:val="0"/>
                <w:bCs w:val="0"/>
                <w:kern w:val="0"/>
                <w:sz w:val="24"/>
                <w:szCs w:val="24"/>
                <w:lang w:val="en-US" w:eastAsia="zh-CN"/>
              </w:rPr>
            </w:pPr>
          </w:p>
        </w:tc>
        <w:tc>
          <w:tcPr>
            <w:tcW w:w="512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工作认可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987"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center"/>
              <w:textAlignment w:val="auto"/>
              <w:outlineLvl w:val="9"/>
              <w:rPr>
                <w:rFonts w:hint="eastAsia" w:ascii="宋体" w:hAnsi="宋体" w:cs="宋体"/>
                <w:b w:val="0"/>
                <w:bCs w:val="0"/>
                <w:kern w:val="0"/>
                <w:sz w:val="24"/>
                <w:szCs w:val="24"/>
                <w:lang w:val="en-US" w:eastAsia="zh-CN"/>
              </w:rPr>
            </w:pPr>
          </w:p>
        </w:tc>
        <w:tc>
          <w:tcPr>
            <w:tcW w:w="1991"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cs="宋体"/>
                <w:b w:val="0"/>
                <w:bCs w:val="0"/>
                <w:kern w:val="0"/>
                <w:sz w:val="24"/>
                <w:szCs w:val="24"/>
                <w:lang w:val="en-US" w:eastAsia="zh-CN"/>
              </w:rPr>
            </w:pPr>
          </w:p>
        </w:tc>
        <w:tc>
          <w:tcPr>
            <w:tcW w:w="512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职业倦怠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9" w:hRule="atLeast"/>
          <w:jc w:val="center"/>
        </w:trPr>
        <w:tc>
          <w:tcPr>
            <w:tcW w:w="987"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center"/>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5</w:t>
            </w:r>
          </w:p>
        </w:tc>
        <w:tc>
          <w:tcPr>
            <w:tcW w:w="1991"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jc w:val="left"/>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自我实现需求</w:t>
            </w:r>
          </w:p>
        </w:tc>
        <w:tc>
          <w:tcPr>
            <w:tcW w:w="512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学生成才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jc w:val="center"/>
        </w:trPr>
        <w:tc>
          <w:tcPr>
            <w:tcW w:w="987"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cs="宋体"/>
                <w:b w:val="0"/>
                <w:bCs w:val="0"/>
                <w:kern w:val="0"/>
                <w:sz w:val="24"/>
                <w:szCs w:val="24"/>
                <w:lang w:val="en-US" w:eastAsia="zh-CN"/>
              </w:rPr>
            </w:pPr>
          </w:p>
        </w:tc>
        <w:tc>
          <w:tcPr>
            <w:tcW w:w="1991" w:type="dxa"/>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cs="宋体"/>
                <w:b w:val="0"/>
                <w:bCs w:val="0"/>
                <w:kern w:val="0"/>
                <w:sz w:val="24"/>
                <w:szCs w:val="24"/>
                <w:lang w:val="en-US" w:eastAsia="zh-CN"/>
              </w:rPr>
            </w:pPr>
          </w:p>
        </w:tc>
        <w:tc>
          <w:tcPr>
            <w:tcW w:w="512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理想的实现</w:t>
            </w:r>
          </w:p>
        </w:tc>
      </w:tr>
    </w:tbl>
    <w:p>
      <w:pPr>
        <w:spacing w:before="156" w:beforeLines="50"/>
        <w:jc w:val="left"/>
        <w:rPr>
          <w:rFonts w:ascii="宋体" w:hAnsi="宋体" w:cs="宋体"/>
          <w:sz w:val="24"/>
          <w:szCs w:val="32"/>
        </w:rPr>
      </w:pPr>
      <w:r>
        <w:rPr>
          <w:rFonts w:hint="eastAsia" w:asciiTheme="minorEastAsia" w:hAnsiTheme="minorEastAsia" w:eastAsiaTheme="minorEastAsia" w:cstheme="minorEastAsia"/>
          <w:kern w:val="0"/>
          <w:sz w:val="24"/>
          <w:szCs w:val="24"/>
          <w:lang w:val="en-US" w:eastAsia="zh-CN"/>
        </w:rPr>
        <w:t xml:space="preserve">    </w:t>
      </w:r>
      <w:r>
        <w:rPr>
          <w:rFonts w:hint="eastAsia" w:asciiTheme="minorEastAsia" w:hAnsiTheme="minorEastAsia" w:eastAsiaTheme="minorEastAsia" w:cstheme="minorEastAsia"/>
          <w:kern w:val="0"/>
          <w:sz w:val="24"/>
          <w:szCs w:val="24"/>
        </w:rPr>
        <w:t>在生理需求方面，重点关注教职工的身体健康等；在安全需求方面，重点关注教职工的工作职位保障、工作压力、职业倦怠、生涯发展等；在</w:t>
      </w:r>
      <w:r>
        <w:rPr>
          <w:rFonts w:hint="eastAsia" w:asciiTheme="minorEastAsia" w:hAnsiTheme="minorEastAsia" w:eastAsiaTheme="minorEastAsia" w:cstheme="minorEastAsia"/>
          <w:kern w:val="0"/>
          <w:sz w:val="24"/>
          <w:szCs w:val="24"/>
          <w:lang w:eastAsia="zh-CN"/>
        </w:rPr>
        <w:t>情感</w:t>
      </w:r>
      <w:r>
        <w:rPr>
          <w:rFonts w:hint="eastAsia" w:asciiTheme="minorEastAsia" w:hAnsiTheme="minorEastAsia" w:eastAsiaTheme="minorEastAsia" w:cstheme="minorEastAsia"/>
          <w:kern w:val="0"/>
          <w:sz w:val="24"/>
          <w:szCs w:val="24"/>
        </w:rPr>
        <w:t>需求方面，重点关注教职工的人际关系状况以及幸福感；在尊重需求方面，重点关注教职工的自我效能感，工作中是否被尊重、职业是否被外界认同，晋升机会是否平等，成就是否得到承认</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工资收入和福利待遇等；在自我实现需求方面，重点关注教职工的自我价值是否得到实现等。</w:t>
      </w:r>
      <w:r>
        <w:rPr>
          <w:rFonts w:ascii="华文宋体" w:hAnsi="华文宋体" w:eastAsia="华文宋体"/>
          <w:sz w:val="28"/>
          <w:szCs w:val="28"/>
        </w:rPr>
        <w:br w:type="page"/>
      </w:r>
      <w:r>
        <w:rPr>
          <w:rFonts w:hint="eastAsia" w:ascii="宋体" w:hAnsi="宋体" w:cs="宋体"/>
          <w:sz w:val="21"/>
          <w:szCs w:val="21"/>
        </w:rPr>
        <w:t>附件2</w:t>
      </w:r>
    </w:p>
    <w:p>
      <w:pPr>
        <w:jc w:val="center"/>
        <w:rPr>
          <w:rFonts w:ascii="宋体" w:hAnsi="宋体" w:cs="宋体"/>
          <w:b/>
          <w:bCs/>
          <w:sz w:val="32"/>
          <w:szCs w:val="40"/>
        </w:rPr>
      </w:pPr>
      <w:r>
        <w:rPr>
          <w:rFonts w:hint="eastAsia" w:ascii="宋体" w:hAnsi="宋体" w:cs="宋体"/>
          <w:b/>
          <w:bCs/>
          <w:sz w:val="32"/>
          <w:szCs w:val="40"/>
        </w:rPr>
        <w:t>上海职业院校教职工状况及其诉求调查问卷</w:t>
      </w:r>
    </w:p>
    <w:p>
      <w:pPr>
        <w:rPr>
          <w:rFonts w:ascii="宋体" w:hAnsi="宋体" w:cs="宋体"/>
          <w:szCs w:val="21"/>
        </w:rPr>
      </w:pPr>
    </w:p>
    <w:p>
      <w:pPr>
        <w:rPr>
          <w:rFonts w:ascii="宋体" w:hAnsi="宋体" w:cs="宋体"/>
          <w:szCs w:val="21"/>
        </w:rPr>
      </w:pPr>
      <w:r>
        <w:rPr>
          <w:rFonts w:hint="eastAsia" w:ascii="宋体" w:hAnsi="宋体" w:cs="宋体"/>
          <w:szCs w:val="21"/>
        </w:rPr>
        <w:t>尊敬的老师：您好！</w:t>
      </w:r>
    </w:p>
    <w:p>
      <w:pPr>
        <w:pBdr>
          <w:bottom w:val="single" w:color="auto" w:sz="6" w:space="0"/>
        </w:pBdr>
        <w:rPr>
          <w:rFonts w:ascii="宋体" w:hAnsi="宋体" w:cs="宋体"/>
          <w:szCs w:val="21"/>
        </w:rPr>
      </w:pPr>
      <w:r>
        <w:rPr>
          <w:rFonts w:hint="eastAsia" w:ascii="宋体" w:hAnsi="宋体" w:cs="宋体"/>
          <w:szCs w:val="21"/>
        </w:rPr>
        <w:t xml:space="preserve">    本问卷是一份学术性研究问卷，旨在了解您工作、生活等方面的状况和主要诉求，希望您能够客观真实的填写问卷，以达到真实反映我市职业院校教职工状况的目的。问卷完全采用匿名形式，您给我们提供的信息仅用于数据统计研究，请放心作答。填写这份问卷有可能会花费您10分钟左右时间，谢谢您对我们的支持！</w:t>
      </w:r>
    </w:p>
    <w:p>
      <w:pPr>
        <w:pBdr>
          <w:bottom w:val="single" w:color="auto" w:sz="6" w:space="0"/>
        </w:pBdr>
        <w:rPr>
          <w:rFonts w:ascii="宋体" w:hAnsi="宋体" w:cs="宋体"/>
          <w:szCs w:val="21"/>
        </w:rPr>
      </w:pPr>
    </w:p>
    <w:p>
      <w:pPr>
        <w:pBdr>
          <w:bottom w:val="single" w:color="auto" w:sz="6" w:space="0"/>
        </w:pBdr>
        <w:jc w:val="right"/>
        <w:rPr>
          <w:rFonts w:ascii="宋体" w:hAnsi="宋体" w:cs="宋体"/>
          <w:szCs w:val="21"/>
        </w:rPr>
      </w:pPr>
      <w:r>
        <w:rPr>
          <w:rFonts w:hint="eastAsia" w:ascii="宋体" w:hAnsi="宋体" w:cs="宋体"/>
          <w:szCs w:val="21"/>
        </w:rPr>
        <w:t>【上海职业院校教职工状况及其诉求调查研究课题组】</w:t>
      </w:r>
    </w:p>
    <w:p>
      <w:pPr>
        <w:pBdr>
          <w:bottom w:val="single" w:color="auto" w:sz="6" w:space="0"/>
        </w:pBdr>
        <w:rPr>
          <w:sz w:val="20"/>
          <w:szCs w:val="22"/>
        </w:rPr>
      </w:pPr>
      <w:r>
        <w:rPr>
          <w:rFonts w:hint="eastAsia"/>
          <w:b/>
          <w:sz w:val="22"/>
          <w:szCs w:val="22"/>
        </w:rPr>
        <w:t>请采用打勾的形式选出您的答案。</w:t>
      </w:r>
    </w:p>
    <w:p>
      <w:pPr>
        <w:rPr>
          <w:sz w:val="24"/>
        </w:rPr>
      </w:pPr>
    </w:p>
    <w:p>
      <w:pPr>
        <w:jc w:val="center"/>
        <w:rPr>
          <w:b/>
          <w:bCs/>
          <w:sz w:val="22"/>
          <w:szCs w:val="28"/>
        </w:rPr>
      </w:pPr>
      <w:r>
        <w:rPr>
          <w:rFonts w:hint="eastAsia"/>
          <w:b/>
          <w:bCs/>
          <w:sz w:val="22"/>
          <w:szCs w:val="28"/>
        </w:rPr>
        <w:t>第一部分 基本情况</w:t>
      </w:r>
    </w:p>
    <w:tbl>
      <w:tblPr>
        <w:tblStyle w:val="14"/>
        <w:tblW w:w="8480" w:type="dxa"/>
        <w:tblInd w:w="0" w:type="dxa"/>
        <w:shd w:val="clear" w:color="auto" w:fill="E6E6E6"/>
        <w:tblLayout w:type="fixed"/>
        <w:tblCellMar>
          <w:top w:w="0" w:type="dxa"/>
          <w:left w:w="108" w:type="dxa"/>
          <w:bottom w:w="0" w:type="dxa"/>
          <w:right w:w="108" w:type="dxa"/>
        </w:tblCellMar>
      </w:tblPr>
      <w:tblGrid>
        <w:gridCol w:w="8480"/>
      </w:tblGrid>
      <w:tr>
        <w:tblPrEx>
          <w:tblLayout w:type="fixed"/>
          <w:tblCellMar>
            <w:top w:w="0" w:type="dxa"/>
            <w:left w:w="108" w:type="dxa"/>
            <w:bottom w:w="0" w:type="dxa"/>
            <w:right w:w="108" w:type="dxa"/>
          </w:tblCellMar>
        </w:tblPrEx>
        <w:trPr>
          <w:trHeight w:val="874" w:hRule="atLeast"/>
        </w:trPr>
        <w:tc>
          <w:tcPr>
            <w:tcW w:w="8480" w:type="dxa"/>
            <w:shd w:val="clear" w:color="auto" w:fill="auto"/>
            <w:vAlign w:val="top"/>
          </w:tcPr>
          <w:p>
            <w:pPr>
              <w:rPr>
                <w:sz w:val="24"/>
              </w:rPr>
            </w:pPr>
            <w:r>
              <w:rPr>
                <w:rFonts w:hint="eastAsia"/>
                <w:sz w:val="24"/>
              </w:rPr>
              <w:t>1.您的性别：</w:t>
            </w:r>
          </w:p>
          <w:p>
            <w:pPr>
              <w:rPr>
                <w:sz w:val="24"/>
              </w:rPr>
            </w:pPr>
            <w:r>
              <w:rPr>
                <w:rFonts w:hint="eastAsia"/>
                <w:sz w:val="24"/>
              </w:rPr>
              <w:t>□男             □女</w:t>
            </w:r>
          </w:p>
        </w:tc>
      </w:tr>
      <w:tr>
        <w:tblPrEx>
          <w:tblLayout w:type="fixed"/>
          <w:tblCellMar>
            <w:top w:w="0" w:type="dxa"/>
            <w:left w:w="108" w:type="dxa"/>
            <w:bottom w:w="0" w:type="dxa"/>
            <w:right w:w="108" w:type="dxa"/>
          </w:tblCellMar>
        </w:tblPrEx>
        <w:trPr>
          <w:trHeight w:val="933" w:hRule="atLeast"/>
        </w:trPr>
        <w:tc>
          <w:tcPr>
            <w:tcW w:w="8480" w:type="dxa"/>
            <w:shd w:val="clear" w:color="auto" w:fill="auto"/>
            <w:vAlign w:val="top"/>
          </w:tcPr>
          <w:p>
            <w:pPr>
              <w:rPr>
                <w:sz w:val="24"/>
              </w:rPr>
            </w:pPr>
            <w:r>
              <w:rPr>
                <w:rFonts w:hint="eastAsia"/>
                <w:sz w:val="24"/>
              </w:rPr>
              <w:t>2.您的年龄：</w:t>
            </w:r>
          </w:p>
          <w:p>
            <w:pPr>
              <w:rPr>
                <w:sz w:val="24"/>
              </w:rPr>
            </w:pPr>
            <w:r>
              <w:rPr>
                <w:rFonts w:hint="eastAsia"/>
                <w:sz w:val="24"/>
              </w:rPr>
              <w:t>□25岁及其以下      □26-35岁      □36-50岁      □51岁及其以上</w:t>
            </w:r>
          </w:p>
        </w:tc>
      </w:tr>
      <w:tr>
        <w:tblPrEx>
          <w:tblLayout w:type="fixed"/>
          <w:tblCellMar>
            <w:top w:w="0" w:type="dxa"/>
            <w:left w:w="108" w:type="dxa"/>
            <w:bottom w:w="0" w:type="dxa"/>
            <w:right w:w="108" w:type="dxa"/>
          </w:tblCellMar>
        </w:tblPrEx>
        <w:trPr>
          <w:trHeight w:val="933" w:hRule="atLeast"/>
        </w:trPr>
        <w:tc>
          <w:tcPr>
            <w:tcW w:w="8480" w:type="dxa"/>
            <w:shd w:val="clear" w:color="auto" w:fill="auto"/>
            <w:vAlign w:val="top"/>
          </w:tcPr>
          <w:p>
            <w:pPr>
              <w:numPr>
                <w:ilvl w:val="0"/>
                <w:numId w:val="0"/>
              </w:numPr>
              <w:rPr>
                <w:sz w:val="24"/>
              </w:rPr>
            </w:pPr>
            <w:r>
              <w:rPr>
                <w:rFonts w:hint="eastAsia"/>
                <w:sz w:val="24"/>
              </w:rPr>
              <w:t>3.您的最高学历为：</w:t>
            </w:r>
          </w:p>
          <w:p>
            <w:pPr>
              <w:numPr>
                <w:ilvl w:val="0"/>
                <w:numId w:val="0"/>
              </w:numPr>
              <w:rPr>
                <w:sz w:val="24"/>
              </w:rPr>
            </w:pPr>
            <w:r>
              <w:rPr>
                <w:rFonts w:hint="eastAsia"/>
                <w:sz w:val="24"/>
              </w:rPr>
              <w:t>□大专  □本科  □硕士研究生  □博士研究生  □博士后  □其他</w:t>
            </w:r>
          </w:p>
        </w:tc>
      </w:tr>
      <w:tr>
        <w:tblPrEx>
          <w:tblLayout w:type="fixed"/>
          <w:tblCellMar>
            <w:top w:w="0" w:type="dxa"/>
            <w:left w:w="108" w:type="dxa"/>
            <w:bottom w:w="0" w:type="dxa"/>
            <w:right w:w="108" w:type="dxa"/>
          </w:tblCellMar>
        </w:tblPrEx>
        <w:trPr>
          <w:trHeight w:val="914" w:hRule="atLeast"/>
        </w:trPr>
        <w:tc>
          <w:tcPr>
            <w:tcW w:w="8480" w:type="dxa"/>
            <w:shd w:val="clear" w:color="auto" w:fill="auto"/>
            <w:vAlign w:val="top"/>
          </w:tcPr>
          <w:p>
            <w:pPr>
              <w:rPr>
                <w:sz w:val="24"/>
              </w:rPr>
            </w:pPr>
            <w:r>
              <w:rPr>
                <w:rFonts w:hint="eastAsia"/>
                <w:sz w:val="24"/>
              </w:rPr>
              <w:t>4.您所在学校类别：</w:t>
            </w:r>
          </w:p>
          <w:p>
            <w:pPr>
              <w:rPr>
                <w:sz w:val="24"/>
              </w:rPr>
            </w:pPr>
            <w:r>
              <w:rPr>
                <w:rFonts w:hint="eastAsia"/>
                <w:sz w:val="24"/>
              </w:rPr>
              <w:t>□中专类学校    □职业类学校     □技工类学校      □高职院校</w:t>
            </w:r>
          </w:p>
        </w:tc>
      </w:tr>
      <w:tr>
        <w:tblPrEx>
          <w:tblLayout w:type="fixed"/>
          <w:tblCellMar>
            <w:top w:w="0" w:type="dxa"/>
            <w:left w:w="108" w:type="dxa"/>
            <w:bottom w:w="0" w:type="dxa"/>
            <w:right w:w="108" w:type="dxa"/>
          </w:tblCellMar>
        </w:tblPrEx>
        <w:trPr>
          <w:trHeight w:val="914" w:hRule="atLeast"/>
        </w:trPr>
        <w:tc>
          <w:tcPr>
            <w:tcW w:w="8480" w:type="dxa"/>
            <w:shd w:val="clear" w:color="auto" w:fill="auto"/>
            <w:vAlign w:val="top"/>
          </w:tcPr>
          <w:p>
            <w:pPr>
              <w:numPr>
                <w:ilvl w:val="0"/>
                <w:numId w:val="0"/>
              </w:numPr>
              <w:rPr>
                <w:sz w:val="24"/>
              </w:rPr>
            </w:pPr>
            <w:r>
              <w:rPr>
                <w:rFonts w:hint="eastAsia"/>
                <w:sz w:val="24"/>
              </w:rPr>
              <w:t>5.您在学校的教龄/工龄：</w:t>
            </w:r>
          </w:p>
          <w:p>
            <w:pPr>
              <w:numPr>
                <w:ilvl w:val="0"/>
                <w:numId w:val="0"/>
              </w:numPr>
              <w:rPr>
                <w:sz w:val="24"/>
              </w:rPr>
            </w:pPr>
            <w:r>
              <w:rPr>
                <w:rFonts w:hint="eastAsia"/>
                <w:sz w:val="24"/>
              </w:rPr>
              <w:t xml:space="preserve">□&lt;3年 </w:t>
            </w:r>
            <w:r>
              <w:rPr>
                <w:rFonts w:hint="eastAsia" w:ascii="Arial" w:hAnsi="Arial" w:cs="Arial"/>
                <w:sz w:val="24"/>
              </w:rPr>
              <w:t xml:space="preserve"> </w:t>
            </w:r>
            <w:r>
              <w:rPr>
                <w:rFonts w:hint="eastAsia"/>
                <w:sz w:val="24"/>
              </w:rPr>
              <w:t>□3至5年  □6至15年  □16至30年  □</w:t>
            </w:r>
            <w:r>
              <w:rPr>
                <w:rFonts w:hint="eastAsia" w:ascii="宋体" w:hAnsi="宋体" w:cs="宋体"/>
                <w:sz w:val="24"/>
              </w:rPr>
              <w:t>&gt;</w:t>
            </w:r>
            <w:r>
              <w:rPr>
                <w:rFonts w:hint="eastAsia"/>
                <w:sz w:val="24"/>
              </w:rPr>
              <w:t>30年</w:t>
            </w:r>
          </w:p>
        </w:tc>
      </w:tr>
      <w:tr>
        <w:tblPrEx>
          <w:tblLayout w:type="fixed"/>
          <w:tblCellMar>
            <w:top w:w="0" w:type="dxa"/>
            <w:left w:w="108" w:type="dxa"/>
            <w:bottom w:w="0" w:type="dxa"/>
            <w:right w:w="108" w:type="dxa"/>
          </w:tblCellMar>
        </w:tblPrEx>
        <w:trPr>
          <w:trHeight w:val="886" w:hRule="atLeast"/>
        </w:trPr>
        <w:tc>
          <w:tcPr>
            <w:tcW w:w="8480" w:type="dxa"/>
            <w:shd w:val="clear" w:color="auto" w:fill="auto"/>
            <w:vAlign w:val="top"/>
          </w:tcPr>
          <w:p>
            <w:pPr>
              <w:rPr>
                <w:sz w:val="24"/>
              </w:rPr>
            </w:pPr>
            <w:r>
              <w:rPr>
                <w:rFonts w:hint="eastAsia"/>
                <w:sz w:val="24"/>
              </w:rPr>
              <w:t>6.您是学校的</w:t>
            </w:r>
          </w:p>
          <w:p>
            <w:pPr>
              <w:rPr>
                <w:sz w:val="24"/>
              </w:rPr>
            </w:pPr>
            <w:r>
              <w:rPr>
                <w:rFonts w:hint="eastAsia"/>
                <w:sz w:val="24"/>
              </w:rPr>
              <w:t>□专职教师   □行政科员   □中层干部   □校级领导  □其他（后勤管理等）</w:t>
            </w:r>
          </w:p>
        </w:tc>
      </w:tr>
      <w:tr>
        <w:tblPrEx>
          <w:tblLayout w:type="fixed"/>
          <w:tblCellMar>
            <w:top w:w="0" w:type="dxa"/>
            <w:left w:w="108" w:type="dxa"/>
            <w:bottom w:w="0" w:type="dxa"/>
            <w:right w:w="108" w:type="dxa"/>
          </w:tblCellMar>
        </w:tblPrEx>
        <w:trPr>
          <w:trHeight w:val="970" w:hRule="atLeast"/>
        </w:trPr>
        <w:tc>
          <w:tcPr>
            <w:tcW w:w="8480" w:type="dxa"/>
            <w:shd w:val="clear" w:color="auto" w:fill="auto"/>
            <w:vAlign w:val="top"/>
          </w:tcPr>
          <w:p>
            <w:pPr>
              <w:rPr>
                <w:sz w:val="24"/>
              </w:rPr>
            </w:pPr>
            <w:r>
              <w:rPr>
                <w:rFonts w:hint="eastAsia"/>
                <w:sz w:val="24"/>
              </w:rPr>
              <w:t>7.您的职称属于</w:t>
            </w:r>
          </w:p>
          <w:p>
            <w:pPr>
              <w:rPr>
                <w:sz w:val="24"/>
              </w:rPr>
            </w:pPr>
            <w:r>
              <w:rPr>
                <w:rFonts w:hint="eastAsia"/>
                <w:sz w:val="24"/>
              </w:rPr>
              <w:t>□初级      □中级   □高级    □副高      □正高      □无/不清楚</w:t>
            </w:r>
          </w:p>
        </w:tc>
      </w:tr>
    </w:tbl>
    <w:p/>
    <w:p>
      <w:pPr>
        <w:jc w:val="center"/>
        <w:rPr>
          <w:b/>
          <w:bCs/>
          <w:sz w:val="22"/>
          <w:szCs w:val="28"/>
        </w:rPr>
      </w:pPr>
      <w:r>
        <w:rPr>
          <w:rFonts w:hint="eastAsia"/>
          <w:b/>
          <w:bCs/>
          <w:sz w:val="22"/>
          <w:szCs w:val="28"/>
        </w:rPr>
        <w:t>第二部分 教职工状况及诉求</w:t>
      </w:r>
    </w:p>
    <w:tbl>
      <w:tblPr>
        <w:tblStyle w:val="14"/>
        <w:tblW w:w="8400" w:type="dxa"/>
        <w:tblInd w:w="0" w:type="dxa"/>
        <w:shd w:val="clear" w:color="auto" w:fill="E6E6E6"/>
        <w:tblLayout w:type="fixed"/>
        <w:tblCellMar>
          <w:top w:w="0" w:type="dxa"/>
          <w:left w:w="108" w:type="dxa"/>
          <w:bottom w:w="0" w:type="dxa"/>
          <w:right w:w="108" w:type="dxa"/>
        </w:tblCellMar>
      </w:tblPr>
      <w:tblGrid>
        <w:gridCol w:w="8400"/>
      </w:tblGrid>
      <w:tr>
        <w:tblPrEx>
          <w:shd w:val="clear" w:color="auto" w:fill="E6E6E6"/>
          <w:tblLayout w:type="fixed"/>
          <w:tblCellMar>
            <w:top w:w="0" w:type="dxa"/>
            <w:left w:w="108" w:type="dxa"/>
            <w:bottom w:w="0" w:type="dxa"/>
            <w:right w:w="108" w:type="dxa"/>
          </w:tblCellMar>
        </w:tblPrEx>
        <w:trPr>
          <w:trHeight w:val="1066" w:hRule="atLeast"/>
        </w:trPr>
        <w:tc>
          <w:tcPr>
            <w:tcW w:w="8400" w:type="dxa"/>
            <w:shd w:val="clear" w:color="auto" w:fill="auto"/>
            <w:vAlign w:val="top"/>
          </w:tcPr>
          <w:p>
            <w:pPr>
              <w:rPr>
                <w:sz w:val="24"/>
              </w:rPr>
            </w:pPr>
            <w:r>
              <w:rPr>
                <w:rFonts w:hint="eastAsia"/>
                <w:sz w:val="24"/>
              </w:rPr>
              <w:t>8.您认为您的工作环境怎么样？</w:t>
            </w:r>
          </w:p>
          <w:p>
            <w:pPr>
              <w:rPr>
                <w:sz w:val="24"/>
              </w:rPr>
            </w:pPr>
            <w:r>
              <w:rPr>
                <w:rFonts w:hint="eastAsia" w:ascii="宋体" w:hAnsi="宋体"/>
                <w:sz w:val="24"/>
              </w:rPr>
              <w:t xml:space="preserve"> □很差      □较差       □一般      □较好      □很好 </w:t>
            </w:r>
          </w:p>
        </w:tc>
      </w:tr>
      <w:tr>
        <w:tblPrEx>
          <w:tblLayout w:type="fixed"/>
          <w:tblCellMar>
            <w:top w:w="0" w:type="dxa"/>
            <w:left w:w="108" w:type="dxa"/>
            <w:bottom w:w="0" w:type="dxa"/>
            <w:right w:w="108" w:type="dxa"/>
          </w:tblCellMar>
        </w:tblPrEx>
        <w:trPr>
          <w:trHeight w:val="1137" w:hRule="atLeast"/>
        </w:trPr>
        <w:tc>
          <w:tcPr>
            <w:tcW w:w="8400" w:type="dxa"/>
            <w:shd w:val="clear" w:color="auto" w:fill="auto"/>
            <w:vAlign w:val="top"/>
          </w:tcPr>
          <w:p>
            <w:pPr>
              <w:rPr>
                <w:sz w:val="24"/>
              </w:rPr>
            </w:pPr>
            <w:r>
              <w:rPr>
                <w:rFonts w:hint="eastAsia"/>
                <w:sz w:val="24"/>
              </w:rPr>
              <w:t>9.您认为同事间的工作氛围如何？</w:t>
            </w:r>
          </w:p>
          <w:p>
            <w:pPr>
              <w:rPr>
                <w:rFonts w:ascii="宋体" w:hAnsi="宋体"/>
                <w:sz w:val="24"/>
              </w:rPr>
            </w:pPr>
            <w:r>
              <w:rPr>
                <w:rFonts w:hint="eastAsia" w:ascii="宋体" w:hAnsi="宋体"/>
                <w:sz w:val="24"/>
              </w:rPr>
              <w:t xml:space="preserve"> □很差      □较差       □一般      □较好      □很好</w:t>
            </w:r>
          </w:p>
        </w:tc>
      </w:tr>
      <w:tr>
        <w:tblPrEx>
          <w:tblLayout w:type="fixed"/>
          <w:tblCellMar>
            <w:top w:w="0" w:type="dxa"/>
            <w:left w:w="108" w:type="dxa"/>
            <w:bottom w:w="0" w:type="dxa"/>
            <w:right w:w="108" w:type="dxa"/>
          </w:tblCellMar>
        </w:tblPrEx>
        <w:trPr>
          <w:trHeight w:val="1113" w:hRule="atLeast"/>
        </w:trPr>
        <w:tc>
          <w:tcPr>
            <w:tcW w:w="8400" w:type="dxa"/>
            <w:shd w:val="clear" w:color="auto" w:fill="auto"/>
            <w:vAlign w:val="top"/>
          </w:tcPr>
          <w:p>
            <w:pPr>
              <w:rPr>
                <w:rFonts w:ascii="宋体" w:hAnsi="宋体"/>
                <w:sz w:val="24"/>
              </w:rPr>
            </w:pPr>
            <w:r>
              <w:rPr>
                <w:rFonts w:hint="eastAsia" w:ascii="宋体" w:hAnsi="宋体"/>
                <w:sz w:val="24"/>
              </w:rPr>
              <w:t>10.</w:t>
            </w:r>
            <w:r>
              <w:rPr>
                <w:rFonts w:hint="eastAsia"/>
                <w:sz w:val="24"/>
              </w:rPr>
              <w:t>您</w:t>
            </w:r>
            <w:r>
              <w:rPr>
                <w:rFonts w:hint="eastAsia" w:ascii="宋体" w:hAnsi="宋体"/>
                <w:sz w:val="24"/>
              </w:rPr>
              <w:t>规划过自己的职业生涯发展吗？</w:t>
            </w:r>
          </w:p>
          <w:p>
            <w:pPr>
              <w:rPr>
                <w:rFonts w:ascii="宋体" w:hAnsi="宋体"/>
                <w:sz w:val="24"/>
              </w:rPr>
            </w:pPr>
            <w:r>
              <w:rPr>
                <w:rFonts w:hint="eastAsia" w:ascii="宋体" w:hAnsi="宋体"/>
                <w:sz w:val="24"/>
              </w:rPr>
              <w:t>□是      □否</w:t>
            </w:r>
          </w:p>
        </w:tc>
      </w:tr>
      <w:tr>
        <w:tblPrEx>
          <w:tblLayout w:type="fixed"/>
          <w:tblCellMar>
            <w:top w:w="0" w:type="dxa"/>
            <w:left w:w="108" w:type="dxa"/>
            <w:bottom w:w="0" w:type="dxa"/>
            <w:right w:w="108" w:type="dxa"/>
          </w:tblCellMar>
        </w:tblPrEx>
        <w:trPr>
          <w:trHeight w:val="1080" w:hRule="atLeast"/>
        </w:trPr>
        <w:tc>
          <w:tcPr>
            <w:tcW w:w="8400" w:type="dxa"/>
            <w:shd w:val="clear" w:color="auto" w:fill="auto"/>
            <w:vAlign w:val="top"/>
          </w:tcPr>
          <w:p>
            <w:pPr>
              <w:rPr>
                <w:rFonts w:ascii="宋体" w:hAnsi="宋体"/>
                <w:sz w:val="24"/>
              </w:rPr>
            </w:pPr>
            <w:r>
              <w:rPr>
                <w:rFonts w:hint="eastAsia" w:ascii="宋体" w:hAnsi="宋体"/>
                <w:sz w:val="24"/>
              </w:rPr>
              <w:t>11.您认为自己的职业生涯发展通道顺畅吗？</w:t>
            </w:r>
          </w:p>
          <w:p>
            <w:pPr>
              <w:rPr>
                <w:rFonts w:ascii="宋体" w:hAnsi="宋体"/>
                <w:sz w:val="24"/>
              </w:rPr>
            </w:pPr>
            <w:r>
              <w:rPr>
                <w:rFonts w:hint="eastAsia" w:ascii="宋体" w:hAnsi="宋体"/>
                <w:sz w:val="24"/>
              </w:rPr>
              <w:t>□不顺畅       □一般      □顺畅</w:t>
            </w:r>
          </w:p>
        </w:tc>
      </w:tr>
      <w:tr>
        <w:tblPrEx>
          <w:tblLayout w:type="fixed"/>
          <w:tblCellMar>
            <w:top w:w="0" w:type="dxa"/>
            <w:left w:w="108" w:type="dxa"/>
            <w:bottom w:w="0" w:type="dxa"/>
            <w:right w:w="108" w:type="dxa"/>
          </w:tblCellMar>
        </w:tblPrEx>
        <w:trPr>
          <w:trHeight w:val="1080" w:hRule="atLeast"/>
        </w:trPr>
        <w:tc>
          <w:tcPr>
            <w:tcW w:w="8400" w:type="dxa"/>
            <w:shd w:val="clear" w:color="auto" w:fill="auto"/>
            <w:vAlign w:val="top"/>
          </w:tcPr>
          <w:p>
            <w:pPr>
              <w:rPr>
                <w:rFonts w:ascii="宋体" w:hAnsi="宋体"/>
                <w:sz w:val="24"/>
              </w:rPr>
            </w:pPr>
            <w:r>
              <w:rPr>
                <w:rFonts w:hint="eastAsia" w:ascii="宋体" w:hAnsi="宋体"/>
                <w:sz w:val="24"/>
              </w:rPr>
              <w:t>12.</w:t>
            </w:r>
            <w:r>
              <w:rPr>
                <w:rFonts w:hint="eastAsia"/>
                <w:sz w:val="24"/>
              </w:rPr>
              <w:t>您</w:t>
            </w:r>
            <w:r>
              <w:rPr>
                <w:rFonts w:hint="eastAsia" w:ascii="宋体" w:hAnsi="宋体"/>
                <w:sz w:val="24"/>
              </w:rPr>
              <w:t>对自己事业和前途的信心程度</w:t>
            </w:r>
          </w:p>
          <w:p>
            <w:pPr>
              <w:rPr>
                <w:rFonts w:ascii="宋体" w:hAnsi="宋体"/>
                <w:sz w:val="24"/>
              </w:rPr>
            </w:pPr>
            <w:r>
              <w:rPr>
                <w:rFonts w:hint="eastAsia" w:ascii="宋体" w:hAnsi="宋体"/>
                <w:sz w:val="24"/>
              </w:rPr>
              <w:t xml:space="preserve">□信心很强     □信心一般   □信心很不强 </w:t>
            </w:r>
          </w:p>
          <w:p>
            <w:pPr>
              <w:rPr>
                <w:rFonts w:ascii="宋体" w:hAnsi="宋体"/>
                <w:sz w:val="24"/>
              </w:rPr>
            </w:pPr>
          </w:p>
        </w:tc>
      </w:tr>
      <w:tr>
        <w:tblPrEx>
          <w:tblLayout w:type="fixed"/>
          <w:tblCellMar>
            <w:top w:w="0" w:type="dxa"/>
            <w:left w:w="108" w:type="dxa"/>
            <w:bottom w:w="0" w:type="dxa"/>
            <w:right w:w="108" w:type="dxa"/>
          </w:tblCellMar>
        </w:tblPrEx>
        <w:trPr>
          <w:trHeight w:val="1183" w:hRule="atLeast"/>
        </w:trPr>
        <w:tc>
          <w:tcPr>
            <w:tcW w:w="8400" w:type="dxa"/>
            <w:shd w:val="clear" w:color="auto" w:fill="auto"/>
            <w:vAlign w:val="top"/>
          </w:tcPr>
          <w:p>
            <w:pPr>
              <w:rPr>
                <w:rFonts w:ascii="宋体" w:hAnsi="宋体"/>
                <w:sz w:val="24"/>
              </w:rPr>
            </w:pPr>
            <w:r>
              <w:rPr>
                <w:rFonts w:hint="eastAsia" w:ascii="宋体" w:hAnsi="宋体"/>
                <w:sz w:val="24"/>
              </w:rPr>
              <w:t>13.您对现在的职业（工作）有优越感吗？</w:t>
            </w:r>
          </w:p>
          <w:p>
            <w:pPr>
              <w:rPr>
                <w:rFonts w:ascii="宋体" w:hAnsi="宋体"/>
                <w:sz w:val="24"/>
              </w:rPr>
            </w:pPr>
            <w:r>
              <w:rPr>
                <w:rFonts w:hint="eastAsia" w:ascii="宋体" w:hAnsi="宋体"/>
                <w:sz w:val="24"/>
              </w:rPr>
              <w:t>□很有优越感       □有些优越感     □没有优越感</w:t>
            </w:r>
          </w:p>
        </w:tc>
      </w:tr>
      <w:tr>
        <w:tblPrEx>
          <w:tblLayout w:type="fixed"/>
          <w:tblCellMar>
            <w:top w:w="0" w:type="dxa"/>
            <w:left w:w="108" w:type="dxa"/>
            <w:bottom w:w="0" w:type="dxa"/>
            <w:right w:w="108" w:type="dxa"/>
          </w:tblCellMar>
        </w:tblPrEx>
        <w:trPr>
          <w:trHeight w:val="1183" w:hRule="atLeast"/>
        </w:trPr>
        <w:tc>
          <w:tcPr>
            <w:tcW w:w="8400" w:type="dxa"/>
            <w:shd w:val="clear" w:color="auto" w:fill="auto"/>
            <w:vAlign w:val="top"/>
          </w:tcPr>
          <w:p>
            <w:pPr>
              <w:rPr>
                <w:rFonts w:ascii="宋体" w:hAnsi="宋体"/>
                <w:sz w:val="24"/>
              </w:rPr>
            </w:pPr>
            <w:r>
              <w:rPr>
                <w:rFonts w:hint="eastAsia" w:ascii="宋体" w:hAnsi="宋体"/>
                <w:sz w:val="24"/>
              </w:rPr>
              <w:t>14.您认为外界对职业院校教师职业的看法如何？（如果选“没有吸引力”，请跳过15题）</w:t>
            </w:r>
          </w:p>
          <w:p>
            <w:pPr>
              <w:rPr>
                <w:rFonts w:ascii="宋体" w:hAnsi="宋体"/>
                <w:sz w:val="24"/>
              </w:rPr>
            </w:pPr>
            <w:r>
              <w:rPr>
                <w:rFonts w:hint="eastAsia" w:ascii="宋体" w:hAnsi="宋体"/>
                <w:sz w:val="24"/>
              </w:rPr>
              <w:t>□很有吸引力       □一般     □没有吸引力</w:t>
            </w:r>
          </w:p>
        </w:tc>
      </w:tr>
      <w:tr>
        <w:tblPrEx>
          <w:tblLayout w:type="fixed"/>
          <w:tblCellMar>
            <w:top w:w="0" w:type="dxa"/>
            <w:left w:w="108" w:type="dxa"/>
            <w:bottom w:w="0" w:type="dxa"/>
            <w:right w:w="108" w:type="dxa"/>
          </w:tblCellMar>
        </w:tblPrEx>
        <w:trPr>
          <w:trHeight w:val="1238" w:hRule="atLeast"/>
        </w:trPr>
        <w:tc>
          <w:tcPr>
            <w:tcW w:w="8400" w:type="dxa"/>
            <w:shd w:val="clear" w:color="auto" w:fill="auto"/>
            <w:vAlign w:val="top"/>
          </w:tcPr>
          <w:p>
            <w:pPr>
              <w:rPr>
                <w:rFonts w:ascii="宋体" w:hAnsi="宋体"/>
                <w:sz w:val="24"/>
              </w:rPr>
            </w:pPr>
            <w:r>
              <w:rPr>
                <w:rFonts w:hint="eastAsia" w:ascii="宋体" w:hAnsi="宋体"/>
                <w:sz w:val="24"/>
              </w:rPr>
              <w:t>15.您认为职业院校教师职业最具吸引力的方面是？</w:t>
            </w:r>
          </w:p>
          <w:p>
            <w:pPr>
              <w:rPr>
                <w:rFonts w:ascii="宋体" w:hAnsi="宋体"/>
                <w:sz w:val="24"/>
              </w:rPr>
            </w:pPr>
            <w:r>
              <w:rPr>
                <w:rFonts w:hint="eastAsia" w:ascii="宋体" w:hAnsi="宋体"/>
                <w:sz w:val="24"/>
              </w:rPr>
              <w:t xml:space="preserve">□有寒暑假  □没有升学压力 □专业潜力大  □国家重视职业教育 </w:t>
            </w:r>
          </w:p>
          <w:p>
            <w:pPr>
              <w:rPr>
                <w:rFonts w:ascii="宋体" w:hAnsi="宋体"/>
                <w:sz w:val="24"/>
              </w:rPr>
            </w:pPr>
            <w:r>
              <w:rPr>
                <w:rFonts w:hint="eastAsia" w:ascii="宋体" w:hAnsi="宋体"/>
                <w:sz w:val="24"/>
              </w:rPr>
              <w:t>□工作稳定，有保障  □社会地位比较高  □其他</w:t>
            </w:r>
            <w:r>
              <w:rPr>
                <w:rFonts w:hint="eastAsia" w:ascii="宋体" w:hAnsi="宋体"/>
                <w:sz w:val="24"/>
                <w:u w:val="single"/>
              </w:rPr>
              <w:t xml:space="preserve">     </w:t>
            </w:r>
          </w:p>
        </w:tc>
      </w:tr>
      <w:tr>
        <w:tblPrEx>
          <w:tblLayout w:type="fixed"/>
          <w:tblCellMar>
            <w:top w:w="0" w:type="dxa"/>
            <w:left w:w="108" w:type="dxa"/>
            <w:bottom w:w="0" w:type="dxa"/>
            <w:right w:w="108" w:type="dxa"/>
          </w:tblCellMar>
        </w:tblPrEx>
        <w:trPr>
          <w:trHeight w:val="1183" w:hRule="atLeast"/>
        </w:trPr>
        <w:tc>
          <w:tcPr>
            <w:tcW w:w="8400" w:type="dxa"/>
            <w:shd w:val="clear" w:color="auto" w:fill="auto"/>
            <w:vAlign w:val="top"/>
          </w:tcPr>
          <w:p>
            <w:pPr>
              <w:rPr>
                <w:rFonts w:ascii="宋体" w:hAnsi="宋体"/>
                <w:sz w:val="24"/>
              </w:rPr>
            </w:pPr>
            <w:r>
              <w:rPr>
                <w:rFonts w:hint="eastAsia" w:ascii="宋体" w:hAnsi="宋体"/>
                <w:sz w:val="24"/>
              </w:rPr>
              <w:t>16.您希望您的子女将来从事职业院校教师职业吗？</w:t>
            </w:r>
          </w:p>
          <w:p>
            <w:pPr>
              <w:rPr>
                <w:rFonts w:ascii="宋体" w:hAnsi="宋体"/>
                <w:sz w:val="24"/>
              </w:rPr>
            </w:pPr>
            <w:r>
              <w:rPr>
                <w:rFonts w:hint="eastAsia" w:ascii="宋体" w:hAnsi="宋体"/>
                <w:sz w:val="24"/>
              </w:rPr>
              <w:t>□希望     □不希望</w:t>
            </w:r>
          </w:p>
        </w:tc>
      </w:tr>
      <w:tr>
        <w:tblPrEx>
          <w:tblLayout w:type="fixed"/>
          <w:tblCellMar>
            <w:top w:w="0" w:type="dxa"/>
            <w:left w:w="108" w:type="dxa"/>
            <w:bottom w:w="0" w:type="dxa"/>
            <w:right w:w="108" w:type="dxa"/>
          </w:tblCellMar>
        </w:tblPrEx>
        <w:trPr>
          <w:trHeight w:val="1183" w:hRule="atLeast"/>
        </w:trPr>
        <w:tc>
          <w:tcPr>
            <w:tcW w:w="8400" w:type="dxa"/>
            <w:shd w:val="clear" w:color="auto" w:fill="auto"/>
            <w:vAlign w:val="top"/>
          </w:tcPr>
          <w:p>
            <w:pPr>
              <w:rPr>
                <w:rFonts w:ascii="宋体" w:hAnsi="宋体"/>
                <w:sz w:val="24"/>
              </w:rPr>
            </w:pPr>
            <w:r>
              <w:rPr>
                <w:rFonts w:hint="eastAsia" w:ascii="宋体" w:hAnsi="宋体"/>
                <w:sz w:val="24"/>
              </w:rPr>
              <w:t>17.您认为目前工作压力大吗？（若选“不大”请跳过18题、19题）</w:t>
            </w:r>
          </w:p>
          <w:p>
            <w:pPr>
              <w:rPr>
                <w:rFonts w:ascii="宋体" w:hAnsi="宋体"/>
                <w:sz w:val="24"/>
              </w:rPr>
            </w:pPr>
            <w:r>
              <w:rPr>
                <w:rFonts w:hint="eastAsia" w:ascii="宋体" w:hAnsi="宋体"/>
                <w:sz w:val="24"/>
              </w:rPr>
              <w:t>□很大       □较大    □一般      □不大</w:t>
            </w:r>
          </w:p>
        </w:tc>
      </w:tr>
      <w:tr>
        <w:tblPrEx>
          <w:tblLayout w:type="fixed"/>
          <w:tblCellMar>
            <w:top w:w="0" w:type="dxa"/>
            <w:left w:w="108" w:type="dxa"/>
            <w:bottom w:w="0" w:type="dxa"/>
            <w:right w:w="108" w:type="dxa"/>
          </w:tblCellMar>
        </w:tblPrEx>
        <w:trPr>
          <w:trHeight w:val="1306" w:hRule="atLeast"/>
        </w:trPr>
        <w:tc>
          <w:tcPr>
            <w:tcW w:w="8400" w:type="dxa"/>
            <w:shd w:val="clear" w:color="auto" w:fill="auto"/>
            <w:vAlign w:val="top"/>
          </w:tcPr>
          <w:p>
            <w:pPr>
              <w:rPr>
                <w:rFonts w:ascii="宋体" w:hAnsi="宋体"/>
                <w:sz w:val="24"/>
              </w:rPr>
            </w:pPr>
            <w:r>
              <w:rPr>
                <w:rFonts w:hint="eastAsia" w:ascii="宋体" w:hAnsi="宋体"/>
                <w:sz w:val="24"/>
              </w:rPr>
              <w:t>18.目前主要是哪方面的压力（可多选）</w:t>
            </w:r>
          </w:p>
          <w:p>
            <w:pPr>
              <w:rPr>
                <w:rFonts w:ascii="宋体" w:hAnsi="宋体"/>
                <w:sz w:val="24"/>
              </w:rPr>
            </w:pPr>
            <w:r>
              <w:rPr>
                <w:rFonts w:hint="eastAsia" w:ascii="宋体" w:hAnsi="宋体"/>
                <w:sz w:val="24"/>
              </w:rPr>
              <w:t>□授课课时的压力  □科研上的压力 □学生管理上的压力 □人际关系上的压力  □职业发展渠道  □薪酬待遇  □职称评定  □各类比赛   □其他</w:t>
            </w:r>
            <w:r>
              <w:rPr>
                <w:rFonts w:hint="eastAsia" w:ascii="宋体" w:hAnsi="宋体"/>
                <w:sz w:val="24"/>
                <w:u w:val="single"/>
              </w:rPr>
              <w:t xml:space="preserve">         </w:t>
            </w:r>
          </w:p>
        </w:tc>
      </w:tr>
      <w:tr>
        <w:tblPrEx>
          <w:tblLayout w:type="fixed"/>
          <w:tblCellMar>
            <w:top w:w="0" w:type="dxa"/>
            <w:left w:w="108" w:type="dxa"/>
            <w:bottom w:w="0" w:type="dxa"/>
            <w:right w:w="108" w:type="dxa"/>
          </w:tblCellMar>
        </w:tblPrEx>
        <w:trPr>
          <w:trHeight w:val="1345" w:hRule="atLeast"/>
        </w:trPr>
        <w:tc>
          <w:tcPr>
            <w:tcW w:w="8400" w:type="dxa"/>
            <w:shd w:val="clear" w:color="auto" w:fill="auto"/>
            <w:vAlign w:val="top"/>
          </w:tcPr>
          <w:p>
            <w:pPr>
              <w:rPr>
                <w:rFonts w:ascii="宋体" w:hAnsi="宋体"/>
                <w:sz w:val="24"/>
              </w:rPr>
            </w:pPr>
            <w:r>
              <w:rPr>
                <w:rFonts w:hint="eastAsia" w:ascii="宋体" w:hAnsi="宋体"/>
                <w:sz w:val="24"/>
              </w:rPr>
              <w:t>19.您认为工作压力主要来自哪里？（可多选）</w:t>
            </w:r>
          </w:p>
          <w:p>
            <w:pPr>
              <w:rPr>
                <w:rFonts w:ascii="宋体" w:hAnsi="宋体"/>
                <w:sz w:val="24"/>
              </w:rPr>
            </w:pPr>
            <w:r>
              <w:rPr>
                <w:rFonts w:hint="eastAsia" w:ascii="宋体" w:hAnsi="宋体"/>
                <w:sz w:val="24"/>
              </w:rPr>
              <w:t xml:space="preserve">□任务重 □时间紧 □领导要求高 □自身经验不足 □自身能力待提高 </w:t>
            </w:r>
          </w:p>
          <w:p>
            <w:pPr>
              <w:rPr>
                <w:rFonts w:ascii="宋体" w:hAnsi="宋体"/>
                <w:sz w:val="24"/>
              </w:rPr>
            </w:pPr>
            <w:r>
              <w:rPr>
                <w:rFonts w:hint="eastAsia" w:ascii="宋体" w:hAnsi="宋体"/>
                <w:sz w:val="24"/>
              </w:rPr>
              <w:t>□人员缺乏  □职称评定标准  □课改频繁  □其他</w:t>
            </w:r>
            <w:r>
              <w:rPr>
                <w:rFonts w:hint="eastAsia" w:ascii="宋体" w:hAnsi="宋体"/>
                <w:sz w:val="24"/>
                <w:u w:val="single"/>
              </w:rPr>
              <w:t xml:space="preserve">         </w:t>
            </w:r>
          </w:p>
        </w:tc>
      </w:tr>
      <w:tr>
        <w:tblPrEx>
          <w:tblLayout w:type="fixed"/>
          <w:tblCellMar>
            <w:top w:w="0" w:type="dxa"/>
            <w:left w:w="108" w:type="dxa"/>
            <w:bottom w:w="0" w:type="dxa"/>
            <w:right w:w="108" w:type="dxa"/>
          </w:tblCellMar>
        </w:tblPrEx>
        <w:trPr>
          <w:trHeight w:val="1183" w:hRule="atLeast"/>
        </w:trPr>
        <w:tc>
          <w:tcPr>
            <w:tcW w:w="8400" w:type="dxa"/>
            <w:shd w:val="clear" w:color="auto" w:fill="auto"/>
            <w:vAlign w:val="top"/>
          </w:tcPr>
          <w:p>
            <w:pPr>
              <w:numPr>
                <w:ilvl w:val="0"/>
                <w:numId w:val="0"/>
              </w:numPr>
              <w:rPr>
                <w:rFonts w:ascii="宋体" w:hAnsi="宋体"/>
                <w:sz w:val="24"/>
              </w:rPr>
            </w:pPr>
            <w:r>
              <w:rPr>
                <w:rFonts w:hint="eastAsia" w:ascii="宋体" w:hAnsi="宋体"/>
                <w:sz w:val="24"/>
              </w:rPr>
              <w:t>20.您平均每天工作时长大致为：</w:t>
            </w:r>
          </w:p>
          <w:p>
            <w:pPr>
              <w:numPr>
                <w:ilvl w:val="0"/>
                <w:numId w:val="0"/>
              </w:numPr>
              <w:rPr>
                <w:rFonts w:ascii="宋体" w:hAnsi="宋体"/>
                <w:sz w:val="24"/>
              </w:rPr>
            </w:pPr>
            <w:r>
              <w:rPr>
                <w:rFonts w:hint="eastAsia" w:ascii="宋体" w:hAnsi="宋体"/>
                <w:sz w:val="24"/>
              </w:rPr>
              <w:t>□</w:t>
            </w:r>
            <w:r>
              <w:rPr>
                <w:rFonts w:ascii="宋体" w:hAnsi="宋体"/>
                <w:sz w:val="24"/>
              </w:rPr>
              <w:t>≤</w:t>
            </w:r>
            <w:r>
              <w:rPr>
                <w:rFonts w:hint="eastAsia" w:ascii="宋体" w:hAnsi="宋体"/>
                <w:sz w:val="24"/>
              </w:rPr>
              <w:t xml:space="preserve">4小时 </w:t>
            </w:r>
            <w:r>
              <w:rPr>
                <w:rFonts w:hint="eastAsia" w:ascii="Arial" w:hAnsi="Arial" w:cs="Arial"/>
                <w:sz w:val="24"/>
              </w:rPr>
              <w:t xml:space="preserve"> </w:t>
            </w:r>
            <w:r>
              <w:rPr>
                <w:rFonts w:hint="eastAsia" w:ascii="宋体" w:hAnsi="宋体"/>
                <w:sz w:val="24"/>
              </w:rPr>
              <w:t>□5-6小时  □7-8小时  □9-12小时 □</w:t>
            </w:r>
            <w:r>
              <w:rPr>
                <w:rFonts w:hint="eastAsia" w:ascii="宋体" w:hAnsi="宋体" w:cs="宋体"/>
                <w:sz w:val="24"/>
              </w:rPr>
              <w:t>&gt;12小时</w:t>
            </w:r>
          </w:p>
        </w:tc>
      </w:tr>
      <w:tr>
        <w:tblPrEx>
          <w:tblLayout w:type="fixed"/>
          <w:tblCellMar>
            <w:top w:w="0" w:type="dxa"/>
            <w:left w:w="108" w:type="dxa"/>
            <w:bottom w:w="0" w:type="dxa"/>
            <w:right w:w="108" w:type="dxa"/>
          </w:tblCellMar>
        </w:tblPrEx>
        <w:trPr>
          <w:trHeight w:val="1183" w:hRule="atLeast"/>
        </w:trPr>
        <w:tc>
          <w:tcPr>
            <w:tcW w:w="8400" w:type="dxa"/>
            <w:shd w:val="clear" w:color="auto" w:fill="auto"/>
            <w:vAlign w:val="top"/>
          </w:tcPr>
          <w:p>
            <w:pPr>
              <w:rPr>
                <w:rFonts w:ascii="宋体" w:hAnsi="宋体"/>
                <w:sz w:val="24"/>
              </w:rPr>
            </w:pPr>
            <w:r>
              <w:rPr>
                <w:rFonts w:hint="eastAsia" w:ascii="宋体" w:hAnsi="宋体"/>
                <w:sz w:val="24"/>
              </w:rPr>
              <w:t>21.您有职业倦怠感吗？</w:t>
            </w:r>
          </w:p>
          <w:p>
            <w:pPr>
              <w:rPr>
                <w:rFonts w:ascii="宋体" w:hAnsi="宋体"/>
                <w:sz w:val="24"/>
              </w:rPr>
            </w:pPr>
            <w:r>
              <w:rPr>
                <w:rFonts w:hint="eastAsia" w:ascii="宋体" w:hAnsi="宋体"/>
                <w:sz w:val="24"/>
              </w:rPr>
              <w:t>□有    □有时有     □没有</w:t>
            </w:r>
          </w:p>
        </w:tc>
      </w:tr>
      <w:tr>
        <w:tblPrEx>
          <w:tblLayout w:type="fixed"/>
          <w:tblCellMar>
            <w:top w:w="0" w:type="dxa"/>
            <w:left w:w="108" w:type="dxa"/>
            <w:bottom w:w="0" w:type="dxa"/>
            <w:right w:w="108" w:type="dxa"/>
          </w:tblCellMar>
        </w:tblPrEx>
        <w:trPr>
          <w:trHeight w:val="1183" w:hRule="atLeast"/>
        </w:trPr>
        <w:tc>
          <w:tcPr>
            <w:tcW w:w="8400" w:type="dxa"/>
            <w:shd w:val="clear" w:color="auto" w:fill="auto"/>
            <w:vAlign w:val="top"/>
          </w:tcPr>
          <w:p>
            <w:pPr>
              <w:rPr>
                <w:rFonts w:ascii="宋体" w:hAnsi="宋体"/>
                <w:sz w:val="24"/>
              </w:rPr>
            </w:pPr>
            <w:r>
              <w:rPr>
                <w:rFonts w:hint="eastAsia" w:ascii="宋体" w:hAnsi="宋体"/>
                <w:sz w:val="24"/>
              </w:rPr>
              <w:t>22.您有“跳槽”的冲动吗？</w:t>
            </w:r>
          </w:p>
          <w:p>
            <w:pPr>
              <w:rPr>
                <w:rFonts w:ascii="宋体" w:hAnsi="宋体"/>
                <w:sz w:val="24"/>
              </w:rPr>
            </w:pPr>
            <w:r>
              <w:rPr>
                <w:rFonts w:hint="eastAsia" w:ascii="宋体" w:hAnsi="宋体"/>
                <w:sz w:val="24"/>
              </w:rPr>
              <w:t>□有    □有时有     □没有</w:t>
            </w:r>
          </w:p>
        </w:tc>
      </w:tr>
      <w:tr>
        <w:tblPrEx>
          <w:tblLayout w:type="fixed"/>
          <w:tblCellMar>
            <w:top w:w="0" w:type="dxa"/>
            <w:left w:w="108" w:type="dxa"/>
            <w:bottom w:w="0" w:type="dxa"/>
            <w:right w:w="108" w:type="dxa"/>
          </w:tblCellMar>
        </w:tblPrEx>
        <w:trPr>
          <w:trHeight w:val="1183" w:hRule="atLeast"/>
        </w:trPr>
        <w:tc>
          <w:tcPr>
            <w:tcW w:w="8400" w:type="dxa"/>
            <w:shd w:val="clear" w:color="auto" w:fill="auto"/>
            <w:vAlign w:val="top"/>
          </w:tcPr>
          <w:p>
            <w:pPr>
              <w:rPr>
                <w:rFonts w:ascii="宋体" w:hAnsi="宋体"/>
                <w:sz w:val="24"/>
              </w:rPr>
            </w:pPr>
            <w:r>
              <w:rPr>
                <w:rFonts w:hint="eastAsia" w:ascii="宋体" w:hAnsi="宋体"/>
                <w:sz w:val="24"/>
              </w:rPr>
              <w:t>23.如果“跳槽”，您会选择</w:t>
            </w:r>
          </w:p>
          <w:p>
            <w:pPr>
              <w:rPr>
                <w:rFonts w:ascii="宋体" w:hAnsi="宋体"/>
                <w:sz w:val="24"/>
              </w:rPr>
            </w:pPr>
            <w:r>
              <w:rPr>
                <w:rFonts w:hint="eastAsia" w:ascii="宋体" w:hAnsi="宋体"/>
                <w:sz w:val="24"/>
              </w:rPr>
              <w:t xml:space="preserve">□换单位仍做职业院校教职工   □换单位不做职业院校教职工  </w:t>
            </w:r>
          </w:p>
        </w:tc>
      </w:tr>
      <w:tr>
        <w:tblPrEx>
          <w:tblLayout w:type="fixed"/>
          <w:tblCellMar>
            <w:top w:w="0" w:type="dxa"/>
            <w:left w:w="108" w:type="dxa"/>
            <w:bottom w:w="0" w:type="dxa"/>
            <w:right w:w="108" w:type="dxa"/>
          </w:tblCellMar>
        </w:tblPrEx>
        <w:trPr>
          <w:trHeight w:val="1183" w:hRule="atLeast"/>
        </w:trPr>
        <w:tc>
          <w:tcPr>
            <w:tcW w:w="8400" w:type="dxa"/>
            <w:shd w:val="clear" w:color="auto" w:fill="auto"/>
            <w:vAlign w:val="top"/>
          </w:tcPr>
          <w:p>
            <w:pPr>
              <w:rPr>
                <w:rFonts w:ascii="宋体" w:hAnsi="宋体"/>
                <w:sz w:val="24"/>
              </w:rPr>
            </w:pPr>
            <w:r>
              <w:rPr>
                <w:rFonts w:hint="eastAsia" w:ascii="宋体" w:hAnsi="宋体"/>
                <w:sz w:val="24"/>
              </w:rPr>
              <w:t>24.您认为自己工作付出和回报成正比吗？</w:t>
            </w:r>
          </w:p>
          <w:p>
            <w:pPr>
              <w:rPr>
                <w:rFonts w:ascii="宋体" w:hAnsi="宋体"/>
                <w:sz w:val="24"/>
              </w:rPr>
            </w:pPr>
            <w:r>
              <w:rPr>
                <w:rFonts w:hint="eastAsia" w:ascii="宋体" w:hAnsi="宋体"/>
                <w:sz w:val="24"/>
              </w:rPr>
              <w:t>□是       □否</w:t>
            </w:r>
          </w:p>
        </w:tc>
      </w:tr>
      <w:tr>
        <w:tblPrEx>
          <w:tblLayout w:type="fixed"/>
          <w:tblCellMar>
            <w:top w:w="0" w:type="dxa"/>
            <w:left w:w="108" w:type="dxa"/>
            <w:bottom w:w="0" w:type="dxa"/>
            <w:right w:w="108" w:type="dxa"/>
          </w:tblCellMar>
        </w:tblPrEx>
        <w:trPr>
          <w:trHeight w:val="1290" w:hRule="atLeast"/>
        </w:trPr>
        <w:tc>
          <w:tcPr>
            <w:tcW w:w="8400" w:type="dxa"/>
            <w:shd w:val="clear" w:color="auto" w:fill="auto"/>
            <w:vAlign w:val="top"/>
          </w:tcPr>
          <w:p>
            <w:pPr>
              <w:rPr>
                <w:rFonts w:ascii="宋体" w:hAnsi="宋体"/>
                <w:sz w:val="24"/>
              </w:rPr>
            </w:pPr>
            <w:r>
              <w:rPr>
                <w:rFonts w:hint="eastAsia" w:ascii="宋体" w:hAnsi="宋体"/>
                <w:sz w:val="24"/>
              </w:rPr>
              <w:t>25.您的月均收入水平属于</w:t>
            </w:r>
          </w:p>
          <w:p>
            <w:pPr>
              <w:rPr>
                <w:rFonts w:ascii="宋体" w:hAnsi="宋体"/>
                <w:sz w:val="24"/>
              </w:rPr>
            </w:pPr>
            <w:r>
              <w:rPr>
                <w:rFonts w:hint="eastAsia" w:ascii="宋体" w:hAnsi="宋体"/>
                <w:sz w:val="24"/>
              </w:rPr>
              <w:t xml:space="preserve">□3000元以下 □3000-5000元  □5000-8000元  □8000-10000元 </w:t>
            </w:r>
          </w:p>
          <w:p>
            <w:pPr>
              <w:rPr>
                <w:rFonts w:ascii="宋体" w:hAnsi="宋体"/>
                <w:sz w:val="24"/>
              </w:rPr>
            </w:pPr>
            <w:r>
              <w:rPr>
                <w:rFonts w:hint="eastAsia" w:ascii="宋体" w:hAnsi="宋体"/>
                <w:sz w:val="24"/>
              </w:rPr>
              <w:t>□10000-15000元  □15000元以上</w:t>
            </w:r>
          </w:p>
        </w:tc>
      </w:tr>
      <w:tr>
        <w:tblPrEx>
          <w:tblLayout w:type="fixed"/>
          <w:tblCellMar>
            <w:top w:w="0" w:type="dxa"/>
            <w:left w:w="108" w:type="dxa"/>
            <w:bottom w:w="0" w:type="dxa"/>
            <w:right w:w="108" w:type="dxa"/>
          </w:tblCellMar>
        </w:tblPrEx>
        <w:trPr>
          <w:trHeight w:val="1183" w:hRule="atLeast"/>
        </w:trPr>
        <w:tc>
          <w:tcPr>
            <w:tcW w:w="8400" w:type="dxa"/>
            <w:shd w:val="clear" w:color="auto" w:fill="auto"/>
            <w:vAlign w:val="top"/>
          </w:tcPr>
          <w:p>
            <w:pPr>
              <w:rPr>
                <w:rFonts w:ascii="宋体" w:hAnsi="宋体"/>
                <w:sz w:val="24"/>
              </w:rPr>
            </w:pPr>
            <w:r>
              <w:rPr>
                <w:rFonts w:hint="eastAsia" w:ascii="宋体" w:hAnsi="宋体"/>
                <w:sz w:val="24"/>
              </w:rPr>
              <w:t>26.您认为收入水平在你认识的同龄人中属于</w:t>
            </w:r>
          </w:p>
          <w:p>
            <w:pPr>
              <w:rPr>
                <w:rFonts w:ascii="宋体" w:hAnsi="宋体"/>
                <w:sz w:val="24"/>
              </w:rPr>
            </w:pPr>
            <w:r>
              <w:rPr>
                <w:rFonts w:hint="eastAsia" w:ascii="宋体" w:hAnsi="宋体"/>
                <w:sz w:val="24"/>
              </w:rPr>
              <w:t xml:space="preserve">□较高     □差不多     □较低    </w:t>
            </w:r>
          </w:p>
        </w:tc>
      </w:tr>
      <w:tr>
        <w:tblPrEx>
          <w:tblLayout w:type="fixed"/>
          <w:tblCellMar>
            <w:top w:w="0" w:type="dxa"/>
            <w:left w:w="108" w:type="dxa"/>
            <w:bottom w:w="0" w:type="dxa"/>
            <w:right w:w="108" w:type="dxa"/>
          </w:tblCellMar>
        </w:tblPrEx>
        <w:trPr>
          <w:trHeight w:val="1183" w:hRule="atLeast"/>
        </w:trPr>
        <w:tc>
          <w:tcPr>
            <w:tcW w:w="8400" w:type="dxa"/>
            <w:shd w:val="clear" w:color="auto" w:fill="auto"/>
            <w:vAlign w:val="top"/>
          </w:tcPr>
          <w:p>
            <w:pPr>
              <w:rPr>
                <w:rFonts w:ascii="宋体" w:hAnsi="宋体"/>
                <w:sz w:val="24"/>
              </w:rPr>
            </w:pPr>
            <w:r>
              <w:rPr>
                <w:rFonts w:hint="eastAsia" w:ascii="宋体" w:hAnsi="宋体"/>
                <w:sz w:val="24"/>
              </w:rPr>
              <w:t>27.您认为收入水平与上海大都市消费水平相符吗</w:t>
            </w:r>
          </w:p>
          <w:p>
            <w:pPr>
              <w:rPr>
                <w:rFonts w:ascii="宋体" w:hAnsi="宋体"/>
                <w:sz w:val="24"/>
              </w:rPr>
            </w:pPr>
            <w:r>
              <w:rPr>
                <w:rFonts w:hint="eastAsia" w:ascii="宋体" w:hAnsi="宋体"/>
                <w:sz w:val="24"/>
              </w:rPr>
              <w:t>□相符     □勉强相符    □不相符</w:t>
            </w:r>
          </w:p>
        </w:tc>
      </w:tr>
      <w:tr>
        <w:tblPrEx>
          <w:tblLayout w:type="fixed"/>
          <w:tblCellMar>
            <w:top w:w="0" w:type="dxa"/>
            <w:left w:w="108" w:type="dxa"/>
            <w:bottom w:w="0" w:type="dxa"/>
            <w:right w:w="108" w:type="dxa"/>
          </w:tblCellMar>
        </w:tblPrEx>
        <w:trPr>
          <w:trHeight w:val="1066" w:hRule="atLeast"/>
        </w:trPr>
        <w:tc>
          <w:tcPr>
            <w:tcW w:w="8400" w:type="dxa"/>
            <w:shd w:val="clear" w:color="auto" w:fill="auto"/>
            <w:vAlign w:val="top"/>
          </w:tcPr>
          <w:p>
            <w:pPr>
              <w:rPr>
                <w:rFonts w:ascii="宋体" w:hAnsi="宋体"/>
                <w:sz w:val="24"/>
              </w:rPr>
            </w:pPr>
            <w:r>
              <w:rPr>
                <w:rFonts w:hint="eastAsia" w:ascii="宋体" w:hAnsi="宋体"/>
                <w:sz w:val="24"/>
              </w:rPr>
              <w:t>28.您对单位的福利待遇满意吗？</w:t>
            </w:r>
          </w:p>
          <w:p>
            <w:pPr>
              <w:rPr>
                <w:rFonts w:ascii="宋体" w:hAnsi="宋体"/>
                <w:sz w:val="24"/>
              </w:rPr>
            </w:pPr>
            <w:r>
              <w:rPr>
                <w:rFonts w:hint="eastAsia" w:ascii="宋体" w:hAnsi="宋体"/>
                <w:sz w:val="24"/>
              </w:rPr>
              <w:t>□不满意   □基本满意  □很满意</w:t>
            </w:r>
          </w:p>
          <w:p>
            <w:pPr>
              <w:rPr>
                <w:rFonts w:ascii="宋体" w:hAnsi="宋体"/>
                <w:sz w:val="24"/>
              </w:rPr>
            </w:pPr>
          </w:p>
        </w:tc>
      </w:tr>
      <w:tr>
        <w:tblPrEx>
          <w:tblLayout w:type="fixed"/>
          <w:tblCellMar>
            <w:top w:w="0" w:type="dxa"/>
            <w:left w:w="108" w:type="dxa"/>
            <w:bottom w:w="0" w:type="dxa"/>
            <w:right w:w="108" w:type="dxa"/>
          </w:tblCellMar>
        </w:tblPrEx>
        <w:trPr>
          <w:trHeight w:val="1183" w:hRule="atLeast"/>
        </w:trPr>
        <w:tc>
          <w:tcPr>
            <w:tcW w:w="8400" w:type="dxa"/>
            <w:shd w:val="clear" w:color="auto" w:fill="auto"/>
            <w:vAlign w:val="top"/>
          </w:tcPr>
          <w:p>
            <w:pPr>
              <w:rPr>
                <w:rFonts w:ascii="宋体" w:hAnsi="宋体"/>
                <w:sz w:val="24"/>
              </w:rPr>
            </w:pPr>
            <w:r>
              <w:rPr>
                <w:rFonts w:hint="eastAsia" w:ascii="宋体" w:hAnsi="宋体"/>
                <w:sz w:val="24"/>
              </w:rPr>
              <w:t>29.您能感受到单位的人文关怀吗？</w:t>
            </w:r>
          </w:p>
          <w:p>
            <w:pPr>
              <w:rPr>
                <w:rFonts w:ascii="宋体" w:hAnsi="宋体"/>
                <w:sz w:val="24"/>
              </w:rPr>
            </w:pPr>
            <w:r>
              <w:rPr>
                <w:rFonts w:hint="eastAsia" w:ascii="宋体" w:hAnsi="宋体"/>
                <w:sz w:val="24"/>
              </w:rPr>
              <w:t>□很深刻   □一般  □感受不到</w:t>
            </w:r>
          </w:p>
          <w:p>
            <w:pPr>
              <w:rPr>
                <w:rFonts w:ascii="宋体" w:hAnsi="宋体"/>
                <w:sz w:val="24"/>
              </w:rPr>
            </w:pPr>
          </w:p>
        </w:tc>
      </w:tr>
      <w:tr>
        <w:tblPrEx>
          <w:tblLayout w:type="fixed"/>
          <w:tblCellMar>
            <w:top w:w="0" w:type="dxa"/>
            <w:left w:w="108" w:type="dxa"/>
            <w:bottom w:w="0" w:type="dxa"/>
            <w:right w:w="108" w:type="dxa"/>
          </w:tblCellMar>
        </w:tblPrEx>
        <w:trPr>
          <w:trHeight w:val="1183" w:hRule="atLeast"/>
        </w:trPr>
        <w:tc>
          <w:tcPr>
            <w:tcW w:w="8400" w:type="dxa"/>
            <w:shd w:val="clear" w:color="auto" w:fill="auto"/>
            <w:vAlign w:val="top"/>
          </w:tcPr>
          <w:p>
            <w:pPr>
              <w:rPr>
                <w:rFonts w:ascii="宋体" w:hAnsi="宋体"/>
                <w:sz w:val="24"/>
              </w:rPr>
            </w:pPr>
            <w:r>
              <w:rPr>
                <w:rFonts w:hint="eastAsia" w:ascii="宋体" w:hAnsi="宋体"/>
                <w:sz w:val="24"/>
              </w:rPr>
              <w:t>30.您对个人身体健康程度满意吗？</w:t>
            </w:r>
          </w:p>
          <w:p>
            <w:pPr>
              <w:rPr>
                <w:rFonts w:ascii="宋体" w:hAnsi="宋体"/>
                <w:sz w:val="24"/>
              </w:rPr>
            </w:pPr>
            <w:r>
              <w:rPr>
                <w:rFonts w:hint="eastAsia" w:ascii="宋体" w:hAnsi="宋体"/>
                <w:sz w:val="24"/>
              </w:rPr>
              <w:t>□不满意   □基本满意  □很满意</w:t>
            </w:r>
          </w:p>
          <w:p>
            <w:pPr>
              <w:rPr>
                <w:rFonts w:ascii="宋体" w:hAnsi="宋体"/>
                <w:sz w:val="24"/>
              </w:rPr>
            </w:pPr>
          </w:p>
        </w:tc>
      </w:tr>
      <w:tr>
        <w:tblPrEx>
          <w:tblLayout w:type="fixed"/>
          <w:tblCellMar>
            <w:top w:w="0" w:type="dxa"/>
            <w:left w:w="108" w:type="dxa"/>
            <w:bottom w:w="0" w:type="dxa"/>
            <w:right w:w="108" w:type="dxa"/>
          </w:tblCellMar>
        </w:tblPrEx>
        <w:trPr>
          <w:trHeight w:val="1183" w:hRule="atLeast"/>
        </w:trPr>
        <w:tc>
          <w:tcPr>
            <w:tcW w:w="8400" w:type="dxa"/>
            <w:shd w:val="clear" w:color="auto" w:fill="auto"/>
            <w:vAlign w:val="top"/>
          </w:tcPr>
          <w:p>
            <w:pPr>
              <w:rPr>
                <w:rFonts w:ascii="宋体" w:hAnsi="宋体"/>
                <w:sz w:val="24"/>
              </w:rPr>
            </w:pPr>
            <w:r>
              <w:rPr>
                <w:rFonts w:hint="eastAsia" w:ascii="宋体" w:hAnsi="宋体"/>
                <w:sz w:val="24"/>
              </w:rPr>
              <w:t>31.您对单位定期组织的身体检查包含的项目满意吗？</w:t>
            </w:r>
          </w:p>
          <w:p>
            <w:pPr>
              <w:rPr>
                <w:rFonts w:ascii="宋体" w:hAnsi="宋体"/>
                <w:sz w:val="24"/>
              </w:rPr>
            </w:pPr>
            <w:r>
              <w:rPr>
                <w:rFonts w:hint="eastAsia" w:ascii="宋体" w:hAnsi="宋体"/>
                <w:sz w:val="24"/>
              </w:rPr>
              <w:t>□不满意   □基本满意  □很满意</w:t>
            </w:r>
          </w:p>
          <w:p>
            <w:pPr>
              <w:rPr>
                <w:rFonts w:ascii="宋体" w:hAnsi="宋体"/>
                <w:sz w:val="24"/>
              </w:rPr>
            </w:pPr>
          </w:p>
        </w:tc>
      </w:tr>
      <w:tr>
        <w:tblPrEx>
          <w:tblLayout w:type="fixed"/>
          <w:tblCellMar>
            <w:top w:w="0" w:type="dxa"/>
            <w:left w:w="108" w:type="dxa"/>
            <w:bottom w:w="0" w:type="dxa"/>
            <w:right w:w="108" w:type="dxa"/>
          </w:tblCellMar>
        </w:tblPrEx>
        <w:trPr>
          <w:trHeight w:val="1183" w:hRule="atLeast"/>
        </w:trPr>
        <w:tc>
          <w:tcPr>
            <w:tcW w:w="8400" w:type="dxa"/>
            <w:shd w:val="clear" w:color="auto" w:fill="auto"/>
            <w:vAlign w:val="top"/>
          </w:tcPr>
          <w:p>
            <w:pPr>
              <w:rPr>
                <w:rFonts w:ascii="宋体" w:hAnsi="宋体"/>
                <w:sz w:val="24"/>
              </w:rPr>
            </w:pPr>
            <w:r>
              <w:rPr>
                <w:rFonts w:hint="eastAsia" w:ascii="宋体" w:hAnsi="宋体"/>
                <w:sz w:val="24"/>
              </w:rPr>
              <w:t>32.在学校期间，您有时间参加体育锻炼吗？</w:t>
            </w:r>
          </w:p>
          <w:p>
            <w:pPr>
              <w:rPr>
                <w:rFonts w:ascii="宋体" w:hAnsi="宋体"/>
                <w:sz w:val="24"/>
              </w:rPr>
            </w:pPr>
            <w:r>
              <w:rPr>
                <w:rFonts w:hint="eastAsia" w:ascii="宋体" w:hAnsi="宋体"/>
                <w:sz w:val="24"/>
              </w:rPr>
              <w:t>□有时间   □没有时间</w:t>
            </w:r>
          </w:p>
        </w:tc>
      </w:tr>
      <w:tr>
        <w:tblPrEx>
          <w:tblLayout w:type="fixed"/>
          <w:tblCellMar>
            <w:top w:w="0" w:type="dxa"/>
            <w:left w:w="108" w:type="dxa"/>
            <w:bottom w:w="0" w:type="dxa"/>
            <w:right w:w="108" w:type="dxa"/>
          </w:tblCellMar>
        </w:tblPrEx>
        <w:trPr>
          <w:trHeight w:val="1183" w:hRule="atLeast"/>
        </w:trPr>
        <w:tc>
          <w:tcPr>
            <w:tcW w:w="8400" w:type="dxa"/>
            <w:shd w:val="clear" w:color="auto" w:fill="auto"/>
            <w:vAlign w:val="top"/>
          </w:tcPr>
          <w:p>
            <w:pPr>
              <w:rPr>
                <w:rFonts w:ascii="宋体" w:hAnsi="宋体"/>
                <w:sz w:val="24"/>
              </w:rPr>
            </w:pPr>
            <w:r>
              <w:rPr>
                <w:rFonts w:hint="eastAsia" w:ascii="宋体" w:hAnsi="宋体"/>
                <w:sz w:val="24"/>
              </w:rPr>
              <w:t>33.您对学校提供的体育锻炼器材满意吗？</w:t>
            </w:r>
          </w:p>
          <w:p>
            <w:pPr>
              <w:rPr>
                <w:rFonts w:ascii="宋体" w:hAnsi="宋体"/>
                <w:sz w:val="24"/>
              </w:rPr>
            </w:pPr>
            <w:r>
              <w:rPr>
                <w:rFonts w:hint="eastAsia" w:ascii="宋体" w:hAnsi="宋体"/>
                <w:sz w:val="24"/>
              </w:rPr>
              <w:t>□不满意   □基本满意  □很满意</w:t>
            </w:r>
          </w:p>
          <w:p>
            <w:pPr>
              <w:rPr>
                <w:rFonts w:ascii="宋体" w:hAnsi="宋体"/>
                <w:sz w:val="24"/>
              </w:rPr>
            </w:pPr>
          </w:p>
        </w:tc>
      </w:tr>
      <w:tr>
        <w:tblPrEx>
          <w:tblLayout w:type="fixed"/>
          <w:tblCellMar>
            <w:top w:w="0" w:type="dxa"/>
            <w:left w:w="108" w:type="dxa"/>
            <w:bottom w:w="0" w:type="dxa"/>
            <w:right w:w="108" w:type="dxa"/>
          </w:tblCellMar>
        </w:tblPrEx>
        <w:trPr>
          <w:trHeight w:val="1183" w:hRule="atLeast"/>
        </w:trPr>
        <w:tc>
          <w:tcPr>
            <w:tcW w:w="8400" w:type="dxa"/>
            <w:shd w:val="clear" w:color="auto" w:fill="auto"/>
            <w:vAlign w:val="top"/>
          </w:tcPr>
          <w:p>
            <w:pPr>
              <w:rPr>
                <w:rFonts w:ascii="宋体" w:hAnsi="宋体"/>
                <w:sz w:val="24"/>
              </w:rPr>
            </w:pPr>
            <w:r>
              <w:rPr>
                <w:rFonts w:hint="eastAsia" w:ascii="宋体" w:hAnsi="宋体"/>
                <w:sz w:val="24"/>
              </w:rPr>
              <w:t>34.您会向学校反映自己的诉求吗？</w:t>
            </w:r>
          </w:p>
          <w:p>
            <w:pPr>
              <w:rPr>
                <w:rFonts w:ascii="宋体" w:hAnsi="宋体"/>
                <w:sz w:val="24"/>
              </w:rPr>
            </w:pPr>
            <w:r>
              <w:rPr>
                <w:rFonts w:hint="eastAsia" w:ascii="宋体" w:hAnsi="宋体"/>
                <w:sz w:val="24"/>
              </w:rPr>
              <w:t>□会  □不会  □不清楚</w:t>
            </w:r>
          </w:p>
        </w:tc>
      </w:tr>
      <w:tr>
        <w:tblPrEx>
          <w:tblLayout w:type="fixed"/>
          <w:tblCellMar>
            <w:top w:w="0" w:type="dxa"/>
            <w:left w:w="108" w:type="dxa"/>
            <w:bottom w:w="0" w:type="dxa"/>
            <w:right w:w="108" w:type="dxa"/>
          </w:tblCellMar>
        </w:tblPrEx>
        <w:trPr>
          <w:trHeight w:val="1183" w:hRule="atLeast"/>
        </w:trPr>
        <w:tc>
          <w:tcPr>
            <w:tcW w:w="8400" w:type="dxa"/>
            <w:shd w:val="clear" w:color="auto" w:fill="auto"/>
            <w:vAlign w:val="top"/>
          </w:tcPr>
          <w:p>
            <w:pPr>
              <w:rPr>
                <w:rFonts w:ascii="宋体" w:hAnsi="宋体"/>
                <w:sz w:val="24"/>
              </w:rPr>
            </w:pPr>
            <w:r>
              <w:rPr>
                <w:rFonts w:hint="eastAsia" w:ascii="宋体" w:hAnsi="宋体"/>
                <w:sz w:val="24"/>
              </w:rPr>
              <w:t>35.您认为学校有回应诉求的渠道吗？</w:t>
            </w:r>
          </w:p>
          <w:p>
            <w:pPr>
              <w:rPr>
                <w:rFonts w:ascii="宋体" w:hAnsi="宋体"/>
                <w:sz w:val="24"/>
              </w:rPr>
            </w:pPr>
            <w:r>
              <w:rPr>
                <w:rFonts w:hint="eastAsia" w:ascii="宋体" w:hAnsi="宋体"/>
                <w:sz w:val="24"/>
              </w:rPr>
              <w:t>□渠道较多     □一般    □没有渠道</w:t>
            </w:r>
          </w:p>
        </w:tc>
      </w:tr>
      <w:tr>
        <w:tblPrEx>
          <w:tblLayout w:type="fixed"/>
          <w:tblCellMar>
            <w:top w:w="0" w:type="dxa"/>
            <w:left w:w="108" w:type="dxa"/>
            <w:bottom w:w="0" w:type="dxa"/>
            <w:right w:w="108" w:type="dxa"/>
          </w:tblCellMar>
        </w:tblPrEx>
        <w:trPr>
          <w:trHeight w:val="1183" w:hRule="atLeast"/>
        </w:trPr>
        <w:tc>
          <w:tcPr>
            <w:tcW w:w="8400" w:type="dxa"/>
            <w:shd w:val="clear" w:color="auto" w:fill="auto"/>
            <w:vAlign w:val="top"/>
          </w:tcPr>
          <w:p>
            <w:pPr>
              <w:rPr>
                <w:rFonts w:ascii="宋体" w:hAnsi="宋体"/>
                <w:sz w:val="24"/>
              </w:rPr>
            </w:pPr>
            <w:r>
              <w:rPr>
                <w:rFonts w:hint="eastAsia" w:ascii="宋体" w:hAnsi="宋体"/>
                <w:sz w:val="24"/>
              </w:rPr>
              <w:t>36.您会主动关注国家对职业教育发展政策吗？</w:t>
            </w:r>
          </w:p>
          <w:p>
            <w:pPr>
              <w:rPr>
                <w:rFonts w:ascii="宋体" w:hAnsi="宋体"/>
                <w:sz w:val="24"/>
              </w:rPr>
            </w:pPr>
            <w:r>
              <w:rPr>
                <w:rFonts w:hint="eastAsia" w:ascii="宋体" w:hAnsi="宋体"/>
                <w:sz w:val="24"/>
              </w:rPr>
              <w:t>□一直关注   □经常关注   □偶尔关注  □不会主动关注</w:t>
            </w:r>
          </w:p>
        </w:tc>
      </w:tr>
      <w:tr>
        <w:tblPrEx>
          <w:tblLayout w:type="fixed"/>
          <w:tblCellMar>
            <w:top w:w="0" w:type="dxa"/>
            <w:left w:w="108" w:type="dxa"/>
            <w:bottom w:w="0" w:type="dxa"/>
            <w:right w:w="108" w:type="dxa"/>
          </w:tblCellMar>
        </w:tblPrEx>
        <w:trPr>
          <w:trHeight w:val="1183" w:hRule="atLeast"/>
        </w:trPr>
        <w:tc>
          <w:tcPr>
            <w:tcW w:w="8400" w:type="dxa"/>
            <w:shd w:val="clear" w:color="auto" w:fill="auto"/>
            <w:vAlign w:val="top"/>
          </w:tcPr>
          <w:p>
            <w:pPr>
              <w:rPr>
                <w:rFonts w:ascii="宋体" w:hAnsi="宋体"/>
                <w:sz w:val="24"/>
              </w:rPr>
            </w:pPr>
            <w:r>
              <w:rPr>
                <w:rFonts w:hint="eastAsia" w:ascii="宋体" w:hAnsi="宋体"/>
                <w:sz w:val="24"/>
              </w:rPr>
              <w:t>37.您认为学生成才下列哪项最重要？</w:t>
            </w:r>
          </w:p>
          <w:p>
            <w:pPr>
              <w:rPr>
                <w:rFonts w:ascii="宋体" w:hAnsi="宋体"/>
                <w:sz w:val="24"/>
              </w:rPr>
            </w:pPr>
            <w:r>
              <w:rPr>
                <w:rFonts w:hint="eastAsia" w:ascii="宋体" w:hAnsi="宋体"/>
                <w:sz w:val="24"/>
              </w:rPr>
              <w:t>□积极向上的品行  □扎实的专业技能  □丰富的专业知识  □人际交往能力</w:t>
            </w:r>
          </w:p>
        </w:tc>
      </w:tr>
      <w:tr>
        <w:tblPrEx>
          <w:tblLayout w:type="fixed"/>
          <w:tblCellMar>
            <w:top w:w="0" w:type="dxa"/>
            <w:left w:w="108" w:type="dxa"/>
            <w:bottom w:w="0" w:type="dxa"/>
            <w:right w:w="108" w:type="dxa"/>
          </w:tblCellMar>
        </w:tblPrEx>
        <w:trPr>
          <w:trHeight w:val="1183" w:hRule="atLeast"/>
        </w:trPr>
        <w:tc>
          <w:tcPr>
            <w:tcW w:w="8400" w:type="dxa"/>
            <w:shd w:val="clear" w:color="auto" w:fill="auto"/>
            <w:vAlign w:val="top"/>
          </w:tcPr>
          <w:p>
            <w:pPr>
              <w:rPr>
                <w:rFonts w:ascii="宋体" w:hAnsi="宋体"/>
                <w:sz w:val="24"/>
              </w:rPr>
            </w:pPr>
            <w:r>
              <w:rPr>
                <w:rFonts w:hint="eastAsia" w:ascii="宋体" w:hAnsi="宋体"/>
                <w:sz w:val="24"/>
              </w:rPr>
              <w:t>38.您认为所有学生都能成才吗？</w:t>
            </w:r>
          </w:p>
          <w:p>
            <w:pPr>
              <w:rPr>
                <w:rFonts w:ascii="宋体" w:hAnsi="宋体"/>
                <w:sz w:val="24"/>
              </w:rPr>
            </w:pPr>
            <w:r>
              <w:rPr>
                <w:rFonts w:hint="eastAsia" w:ascii="宋体" w:hAnsi="宋体"/>
                <w:sz w:val="24"/>
              </w:rPr>
              <w:t>□都能成才        □不确定      □有些学生很难成才</w:t>
            </w:r>
          </w:p>
        </w:tc>
      </w:tr>
    </w:tbl>
    <w:p>
      <w:pPr>
        <w:rPr>
          <w:rFonts w:ascii="宋体" w:hAnsi="宋体"/>
          <w:sz w:val="24"/>
        </w:rPr>
      </w:pPr>
    </w:p>
    <w:p>
      <w:pPr>
        <w:jc w:val="center"/>
        <w:rPr>
          <w:b/>
          <w:bCs/>
          <w:sz w:val="24"/>
        </w:rPr>
      </w:pPr>
      <w:r>
        <w:rPr>
          <w:rFonts w:hint="eastAsia"/>
          <w:b/>
          <w:bCs/>
          <w:sz w:val="24"/>
        </w:rPr>
        <w:t>第三部分 教职工状况和诉求建议</w:t>
      </w:r>
    </w:p>
    <w:tbl>
      <w:tblPr>
        <w:tblStyle w:val="14"/>
        <w:tblW w:w="8540" w:type="dxa"/>
        <w:tblInd w:w="0" w:type="dxa"/>
        <w:shd w:val="clear" w:color="auto" w:fill="E6E6E6"/>
        <w:tblLayout w:type="fixed"/>
        <w:tblCellMar>
          <w:top w:w="0" w:type="dxa"/>
          <w:left w:w="108" w:type="dxa"/>
          <w:bottom w:w="0" w:type="dxa"/>
          <w:right w:w="108" w:type="dxa"/>
        </w:tblCellMar>
      </w:tblPr>
      <w:tblGrid>
        <w:gridCol w:w="8540"/>
      </w:tblGrid>
      <w:tr>
        <w:tblPrEx>
          <w:tblLayout w:type="fixed"/>
          <w:tblCellMar>
            <w:top w:w="0" w:type="dxa"/>
            <w:left w:w="108" w:type="dxa"/>
            <w:bottom w:w="0" w:type="dxa"/>
            <w:right w:w="108" w:type="dxa"/>
          </w:tblCellMar>
        </w:tblPrEx>
        <w:trPr>
          <w:trHeight w:val="4576" w:hRule="atLeast"/>
        </w:trPr>
        <w:tc>
          <w:tcPr>
            <w:tcW w:w="8540" w:type="dxa"/>
            <w:shd w:val="clear" w:color="auto" w:fill="auto"/>
            <w:vAlign w:val="top"/>
          </w:tcPr>
          <w:p>
            <w:pPr>
              <w:rPr>
                <w:rFonts w:ascii="宋体" w:hAnsi="宋体"/>
                <w:sz w:val="24"/>
              </w:rPr>
            </w:pPr>
            <w:r>
              <w:rPr>
                <w:rFonts w:hint="eastAsia" w:ascii="宋体" w:hAnsi="宋体"/>
                <w:sz w:val="24"/>
              </w:rPr>
              <w:t>39.您认为目前就职学校最需要改进的地方是什么？</w:t>
            </w: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numPr>
                <w:ilvl w:val="0"/>
                <w:numId w:val="0"/>
              </w:numPr>
              <w:rPr>
                <w:rFonts w:ascii="宋体" w:hAnsi="宋体"/>
                <w:sz w:val="24"/>
              </w:rPr>
            </w:pPr>
            <w:r>
              <w:rPr>
                <w:rFonts w:hint="eastAsia" w:ascii="宋体" w:hAnsi="宋体"/>
                <w:sz w:val="24"/>
                <w:lang w:val="en-US" w:eastAsia="zh-CN"/>
              </w:rPr>
              <w:t>40.</w:t>
            </w:r>
            <w:r>
              <w:rPr>
                <w:rFonts w:hint="eastAsia" w:ascii="宋体" w:hAnsi="宋体"/>
                <w:sz w:val="24"/>
              </w:rPr>
              <w:t>您对解决教职工诸如工作环境、身体健康、工作压力等方面诉求有哪些建议？</w:t>
            </w:r>
          </w:p>
          <w:p>
            <w:pPr>
              <w:rPr>
                <w:rFonts w:ascii="宋体" w:hAnsi="宋体"/>
                <w:sz w:val="24"/>
              </w:rPr>
            </w:pPr>
          </w:p>
        </w:tc>
      </w:tr>
    </w:tbl>
    <w:p>
      <w:pPr>
        <w:jc w:val="right"/>
        <w:rPr>
          <w:rFonts w:hint="eastAsia" w:ascii="宋体" w:hAnsi="宋体" w:cs="宋体"/>
          <w:szCs w:val="21"/>
        </w:rPr>
      </w:pPr>
      <w:r>
        <w:rPr>
          <w:rFonts w:hint="eastAsia" w:ascii="宋体" w:hAnsi="宋体" w:cs="宋体"/>
          <w:szCs w:val="21"/>
        </w:rPr>
        <w:t>再次感谢您对我们的支持！</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eastAsia" w:ascii="宋体" w:hAnsi="宋体" w:eastAsia="宋体" w:cs="宋体"/>
          <w:b w:val="0"/>
          <w:bCs w:val="0"/>
          <w:kern w:val="0"/>
          <w:sz w:val="21"/>
          <w:szCs w:val="21"/>
          <w:lang w:eastAsia="zh-CN"/>
        </w:rPr>
      </w:pPr>
      <w:r>
        <w:rPr>
          <w:rFonts w:hint="eastAsia" w:ascii="宋体" w:hAnsi="宋体" w:cs="宋体"/>
          <w:b w:val="0"/>
          <w:bCs w:val="0"/>
          <w:kern w:val="0"/>
          <w:sz w:val="21"/>
          <w:szCs w:val="21"/>
          <w:lang w:eastAsia="zh-CN"/>
        </w:rPr>
        <w:t>附件</w:t>
      </w:r>
      <w:r>
        <w:rPr>
          <w:rFonts w:hint="eastAsia" w:ascii="宋体" w:hAnsi="宋体" w:cs="宋体"/>
          <w:b w:val="0"/>
          <w:bCs w:val="0"/>
          <w:kern w:val="0"/>
          <w:sz w:val="21"/>
          <w:szCs w:val="21"/>
          <w:lang w:val="en-US" w:eastAsia="zh-CN"/>
        </w:rPr>
        <w:t>3</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center"/>
        <w:textAlignment w:val="auto"/>
        <w:outlineLvl w:val="9"/>
        <w:rPr>
          <w:rFonts w:hint="eastAsia" w:ascii="黑体" w:hAnsi="黑体" w:eastAsia="黑体" w:cs="黑体"/>
          <w:b/>
          <w:bCs/>
          <w:kern w:val="0"/>
          <w:sz w:val="32"/>
          <w:szCs w:val="32"/>
        </w:rPr>
      </w:pPr>
      <w:r>
        <w:rPr>
          <w:rFonts w:hint="eastAsia" w:ascii="黑体" w:hAnsi="黑体" w:eastAsia="黑体" w:cs="黑体"/>
          <w:b/>
          <w:bCs/>
          <w:kern w:val="0"/>
          <w:sz w:val="32"/>
          <w:szCs w:val="32"/>
        </w:rPr>
        <w:t>上海职业院校教职工状况及其诉求</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center"/>
        <w:textAlignment w:val="auto"/>
        <w:outlineLvl w:val="9"/>
        <w:rPr>
          <w:rFonts w:hint="eastAsia" w:ascii="黑体" w:hAnsi="黑体" w:eastAsia="黑体" w:cs="黑体"/>
          <w:b/>
          <w:bCs/>
          <w:kern w:val="0"/>
          <w:sz w:val="32"/>
          <w:szCs w:val="32"/>
        </w:rPr>
      </w:pPr>
      <w:r>
        <w:rPr>
          <w:rFonts w:hint="eastAsia" w:ascii="黑体" w:hAnsi="黑体" w:eastAsia="黑体" w:cs="黑体"/>
          <w:b/>
          <w:bCs/>
          <w:kern w:val="0"/>
          <w:sz w:val="32"/>
          <w:szCs w:val="32"/>
          <w:lang w:eastAsia="zh-CN"/>
        </w:rPr>
        <w:t>问卷调查分析报告</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本分析报告包括三个部分，第一部分抽样说明，对我市职业院校的类别和层次，区域分布等方面进行了综合考虑，做到基本覆盖。第二部分</w:t>
      </w:r>
      <w:r>
        <w:rPr>
          <w:rFonts w:hint="eastAsia" w:ascii="宋体" w:hAnsi="宋体" w:eastAsia="宋体" w:cs="宋体"/>
          <w:kern w:val="0"/>
          <w:sz w:val="24"/>
          <w:szCs w:val="24"/>
          <w:lang w:val="en-US" w:eastAsia="zh-CN"/>
        </w:rPr>
        <w:t>分析受访者的群体特征。从受访者的年龄与教龄结构、学历结构、职务职称等方面进行了汇总分析。第三部分重点以马斯洛需求层次理论为基本分析框架，将回收的329份问卷按照生理（身体健康）需求、安全需求、情感需求、尊重需求和自我实现需求等几个方面分析教职工状况和诉求。提出了</w:t>
      </w:r>
      <w:r>
        <w:rPr>
          <w:rFonts w:hint="eastAsia" w:ascii="宋体" w:hAnsi="宋体" w:eastAsia="宋体" w:cs="宋体"/>
          <w:b w:val="0"/>
          <w:bCs w:val="0"/>
          <w:kern w:val="2"/>
          <w:sz w:val="24"/>
          <w:szCs w:val="24"/>
          <w:lang w:val="en-US" w:eastAsia="zh-CN"/>
        </w:rPr>
        <w:t>我市职业院校教职工软硬环境满意度</w:t>
      </w:r>
      <w:r>
        <w:rPr>
          <w:rFonts w:hint="eastAsia" w:ascii="宋体" w:hAnsi="宋体" w:cs="宋体"/>
          <w:b w:val="0"/>
          <w:bCs w:val="0"/>
          <w:kern w:val="2"/>
          <w:sz w:val="24"/>
          <w:szCs w:val="24"/>
          <w:lang w:val="en-US" w:eastAsia="zh-CN"/>
        </w:rPr>
        <w:t>较高</w:t>
      </w:r>
      <w:r>
        <w:rPr>
          <w:rFonts w:hint="eastAsia" w:ascii="宋体" w:hAnsi="宋体" w:eastAsia="宋体" w:cs="宋体"/>
          <w:b w:val="0"/>
          <w:bCs w:val="0"/>
          <w:kern w:val="2"/>
          <w:sz w:val="24"/>
          <w:szCs w:val="24"/>
          <w:lang w:val="en-US" w:eastAsia="zh-CN"/>
        </w:rPr>
        <w:t>，身体状况满意度总体偏低，工作压力普遍偏大，职业优越感不足，薪酬待遇亟待提升，反映诉求的渠道需要拓宽等观点。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bCs/>
          <w:kern w:val="0"/>
          <w:sz w:val="24"/>
          <w:szCs w:val="24"/>
          <w:lang w:val="en-US" w:eastAsia="zh-CN"/>
        </w:rPr>
      </w:pPr>
      <w:r>
        <w:rPr>
          <w:rFonts w:hint="eastAsia" w:ascii="宋体" w:hAnsi="宋体" w:cs="宋体"/>
          <w:b/>
          <w:bCs/>
          <w:kern w:val="0"/>
          <w:sz w:val="24"/>
          <w:szCs w:val="24"/>
          <w:lang w:val="en-US" w:eastAsia="zh-CN"/>
        </w:rPr>
        <w:t>一、抽样说明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本研究的研究对象是上海职业院校教职工，包括中等职业学校和高等职业院校两种学校层次。中等职业学校目前共有71所。一般分为区教育局所属职业学校，行业所属中专学校和企业所属技工学校。按照近年来学校所分层次来看，主要分为一般学校、国家级重点、上海市级改革发展特色示范学校（简称市级特色校）和国家改革发展特色示范学校（简称</w:t>
      </w:r>
      <w:r>
        <w:rPr>
          <w:rFonts w:hint="eastAsia" w:ascii="宋体" w:hAnsi="宋体" w:eastAsia="宋体" w:cs="宋体"/>
          <w:i w:val="0"/>
          <w:color w:val="000000"/>
          <w:kern w:val="0"/>
          <w:sz w:val="24"/>
          <w:szCs w:val="24"/>
          <w:u w:val="none"/>
          <w:lang w:val="en-US" w:eastAsia="zh-CN" w:bidi="ar"/>
        </w:rPr>
        <w:t>国示范</w:t>
      </w:r>
      <w:r>
        <w:rPr>
          <w:rFonts w:hint="eastAsia" w:ascii="宋体" w:hAnsi="宋体" w:cs="宋体"/>
          <w:i w:val="0"/>
          <w:color w:val="000000"/>
          <w:kern w:val="0"/>
          <w:sz w:val="24"/>
          <w:szCs w:val="24"/>
          <w:u w:val="none"/>
          <w:lang w:val="en-US" w:eastAsia="zh-CN" w:bidi="ar"/>
        </w:rPr>
        <w:t>学校</w:t>
      </w:r>
      <w:r>
        <w:rPr>
          <w:rFonts w:hint="eastAsia" w:ascii="宋体" w:hAnsi="宋体" w:cs="宋体"/>
          <w:b w:val="0"/>
          <w:bCs w:val="0"/>
          <w:kern w:val="0"/>
          <w:sz w:val="24"/>
          <w:szCs w:val="24"/>
          <w:lang w:val="en-US" w:eastAsia="zh-CN"/>
        </w:rPr>
        <w:t>）。高职院校目前共有31所，按照性质分为公办高职院校和民办高职院校，按照层次分为一般高职院校、上海市特色高职院校、国家示范性高职院校等。</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本次抽样样本数为31所学校，覆盖以上所有学校类别。在每所学校内部的抽样方式为随机抽样。抽样的学校列表如下。从下表可以看出，此次调查抽样覆盖了13个区，在全市15个区覆盖率为87%。</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表1 受访者所在职业院校一览表</w:t>
      </w:r>
    </w:p>
    <w:tbl>
      <w:tblPr>
        <w:tblStyle w:val="14"/>
        <w:tblW w:w="7395" w:type="dxa"/>
        <w:jc w:val="center"/>
        <w:tblInd w:w="47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575"/>
        <w:gridCol w:w="3210"/>
        <w:gridCol w:w="1100"/>
        <w:gridCol w:w="25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9" w:hRule="atLeast"/>
          <w:jc w:val="center"/>
        </w:trPr>
        <w:tc>
          <w:tcPr>
            <w:tcW w:w="5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序号</w:t>
            </w:r>
          </w:p>
        </w:tc>
        <w:tc>
          <w:tcPr>
            <w:tcW w:w="32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学校</w:t>
            </w:r>
          </w:p>
        </w:tc>
        <w:tc>
          <w:tcPr>
            <w:tcW w:w="11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cs="宋体"/>
                <w:b/>
                <w:i w:val="0"/>
                <w:color w:val="000000"/>
                <w:kern w:val="0"/>
                <w:sz w:val="24"/>
                <w:szCs w:val="24"/>
                <w:u w:val="none"/>
                <w:lang w:val="en-US" w:eastAsia="zh-CN" w:bidi="ar"/>
              </w:rPr>
              <w:t>所在</w:t>
            </w:r>
            <w:r>
              <w:rPr>
                <w:rFonts w:hint="eastAsia" w:ascii="宋体" w:hAnsi="宋体" w:eastAsia="宋体" w:cs="宋体"/>
                <w:b/>
                <w:i w:val="0"/>
                <w:color w:val="000000"/>
                <w:kern w:val="0"/>
                <w:sz w:val="24"/>
                <w:szCs w:val="24"/>
                <w:u w:val="none"/>
                <w:lang w:val="en-US" w:eastAsia="zh-CN" w:bidi="ar"/>
              </w:rPr>
              <w:t>区</w:t>
            </w:r>
          </w:p>
        </w:tc>
        <w:tc>
          <w:tcPr>
            <w:tcW w:w="25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学校类别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9" w:hRule="atLeast"/>
          <w:jc w:val="center"/>
        </w:trPr>
        <w:tc>
          <w:tcPr>
            <w:tcW w:w="5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32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上海城建职业学院</w:t>
            </w:r>
          </w:p>
        </w:tc>
        <w:tc>
          <w:tcPr>
            <w:tcW w:w="11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宝山</w:t>
            </w:r>
          </w:p>
        </w:tc>
        <w:tc>
          <w:tcPr>
            <w:tcW w:w="25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一般高职院校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9" w:hRule="atLeast"/>
          <w:jc w:val="center"/>
        </w:trPr>
        <w:tc>
          <w:tcPr>
            <w:tcW w:w="5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32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上海电子信息职业技术学院</w:t>
            </w:r>
          </w:p>
        </w:tc>
        <w:tc>
          <w:tcPr>
            <w:tcW w:w="11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奉贤</w:t>
            </w:r>
          </w:p>
        </w:tc>
        <w:tc>
          <w:tcPr>
            <w:tcW w:w="25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国家示范性高职</w:t>
            </w:r>
            <w:r>
              <w:rPr>
                <w:rFonts w:hint="eastAsia" w:ascii="宋体" w:hAnsi="宋体" w:cs="宋体"/>
                <w:i w:val="0"/>
                <w:color w:val="000000"/>
                <w:kern w:val="0"/>
                <w:sz w:val="24"/>
                <w:szCs w:val="24"/>
                <w:u w:val="none"/>
                <w:lang w:val="en-US" w:eastAsia="zh-CN" w:bidi="ar"/>
              </w:rPr>
              <w:t>院校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9" w:hRule="atLeast"/>
          <w:jc w:val="center"/>
        </w:trPr>
        <w:tc>
          <w:tcPr>
            <w:tcW w:w="5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32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上海东海职业技术学院</w:t>
            </w:r>
          </w:p>
        </w:tc>
        <w:tc>
          <w:tcPr>
            <w:tcW w:w="11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闵行</w:t>
            </w:r>
          </w:p>
        </w:tc>
        <w:tc>
          <w:tcPr>
            <w:tcW w:w="25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民办</w:t>
            </w:r>
            <w:r>
              <w:rPr>
                <w:rFonts w:hint="eastAsia" w:ascii="宋体" w:hAnsi="宋体" w:cs="宋体"/>
                <w:i w:val="0"/>
                <w:color w:val="000000"/>
                <w:kern w:val="0"/>
                <w:sz w:val="24"/>
                <w:szCs w:val="24"/>
                <w:u w:val="none"/>
                <w:lang w:val="en-US" w:eastAsia="zh-CN" w:bidi="ar"/>
              </w:rPr>
              <w:t>院校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 w:hRule="atLeast"/>
          <w:jc w:val="center"/>
        </w:trPr>
        <w:tc>
          <w:tcPr>
            <w:tcW w:w="5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32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上海第二工业大学</w:t>
            </w:r>
          </w:p>
        </w:tc>
        <w:tc>
          <w:tcPr>
            <w:tcW w:w="11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浦东新区</w:t>
            </w:r>
          </w:p>
        </w:tc>
        <w:tc>
          <w:tcPr>
            <w:tcW w:w="25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本科院校下设高职院校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9" w:hRule="atLeast"/>
          <w:jc w:val="center"/>
        </w:trPr>
        <w:tc>
          <w:tcPr>
            <w:tcW w:w="5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32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上海杉达学院</w:t>
            </w:r>
          </w:p>
        </w:tc>
        <w:tc>
          <w:tcPr>
            <w:tcW w:w="11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浦东新区</w:t>
            </w:r>
          </w:p>
        </w:tc>
        <w:tc>
          <w:tcPr>
            <w:tcW w:w="25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民办</w:t>
            </w:r>
            <w:r>
              <w:rPr>
                <w:rFonts w:hint="eastAsia" w:ascii="宋体" w:hAnsi="宋体" w:cs="宋体"/>
                <w:i w:val="0"/>
                <w:color w:val="000000"/>
                <w:kern w:val="0"/>
                <w:sz w:val="24"/>
                <w:szCs w:val="24"/>
                <w:u w:val="none"/>
                <w:lang w:val="en-US" w:eastAsia="zh-CN" w:bidi="ar"/>
              </w:rPr>
              <w:t>院校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9" w:hRule="atLeast"/>
          <w:jc w:val="center"/>
        </w:trPr>
        <w:tc>
          <w:tcPr>
            <w:tcW w:w="5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32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上海工商外国语职业学院</w:t>
            </w:r>
          </w:p>
        </w:tc>
        <w:tc>
          <w:tcPr>
            <w:tcW w:w="11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浦东新区</w:t>
            </w:r>
          </w:p>
        </w:tc>
        <w:tc>
          <w:tcPr>
            <w:tcW w:w="25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民办</w:t>
            </w:r>
            <w:r>
              <w:rPr>
                <w:rFonts w:hint="eastAsia" w:ascii="宋体" w:hAnsi="宋体" w:cs="宋体"/>
                <w:i w:val="0"/>
                <w:color w:val="000000"/>
                <w:kern w:val="0"/>
                <w:sz w:val="24"/>
                <w:szCs w:val="24"/>
                <w:u w:val="none"/>
                <w:lang w:val="en-US" w:eastAsia="zh-CN" w:bidi="ar"/>
              </w:rPr>
              <w:t>院校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0" w:hRule="atLeast"/>
          <w:jc w:val="center"/>
        </w:trPr>
        <w:tc>
          <w:tcPr>
            <w:tcW w:w="5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w:t>
            </w:r>
          </w:p>
        </w:tc>
        <w:tc>
          <w:tcPr>
            <w:tcW w:w="32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上海中侨职业技术学院</w:t>
            </w:r>
          </w:p>
        </w:tc>
        <w:tc>
          <w:tcPr>
            <w:tcW w:w="11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松江</w:t>
            </w:r>
          </w:p>
        </w:tc>
        <w:tc>
          <w:tcPr>
            <w:tcW w:w="25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民办</w:t>
            </w:r>
            <w:r>
              <w:rPr>
                <w:rFonts w:hint="eastAsia" w:ascii="宋体" w:hAnsi="宋体" w:cs="宋体"/>
                <w:i w:val="0"/>
                <w:color w:val="000000"/>
                <w:kern w:val="0"/>
                <w:sz w:val="24"/>
                <w:szCs w:val="24"/>
                <w:u w:val="none"/>
                <w:lang w:val="en-US" w:eastAsia="zh-CN" w:bidi="ar"/>
              </w:rPr>
              <w:t>院校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0" w:hRule="atLeast"/>
          <w:jc w:val="center"/>
        </w:trPr>
        <w:tc>
          <w:tcPr>
            <w:tcW w:w="5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w:t>
            </w:r>
          </w:p>
        </w:tc>
        <w:tc>
          <w:tcPr>
            <w:tcW w:w="32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上海立达职业技术学院</w:t>
            </w:r>
          </w:p>
        </w:tc>
        <w:tc>
          <w:tcPr>
            <w:tcW w:w="11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松江</w:t>
            </w:r>
          </w:p>
        </w:tc>
        <w:tc>
          <w:tcPr>
            <w:tcW w:w="25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民办</w:t>
            </w:r>
            <w:r>
              <w:rPr>
                <w:rFonts w:hint="eastAsia" w:ascii="宋体" w:hAnsi="宋体" w:cs="宋体"/>
                <w:i w:val="0"/>
                <w:color w:val="000000"/>
                <w:kern w:val="0"/>
                <w:sz w:val="24"/>
                <w:szCs w:val="24"/>
                <w:u w:val="none"/>
                <w:lang w:val="en-US" w:eastAsia="zh-CN" w:bidi="ar"/>
              </w:rPr>
              <w:t>院校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0" w:hRule="atLeast"/>
          <w:jc w:val="center"/>
        </w:trPr>
        <w:tc>
          <w:tcPr>
            <w:tcW w:w="5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w:t>
            </w:r>
          </w:p>
        </w:tc>
        <w:tc>
          <w:tcPr>
            <w:tcW w:w="32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上海农林职业技术学院</w:t>
            </w:r>
          </w:p>
        </w:tc>
        <w:tc>
          <w:tcPr>
            <w:tcW w:w="11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松江</w:t>
            </w:r>
          </w:p>
        </w:tc>
        <w:tc>
          <w:tcPr>
            <w:tcW w:w="25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市特色高职</w:t>
            </w:r>
            <w:r>
              <w:rPr>
                <w:rFonts w:hint="eastAsia" w:ascii="宋体" w:hAnsi="宋体" w:cs="宋体"/>
                <w:i w:val="0"/>
                <w:color w:val="000000"/>
                <w:kern w:val="0"/>
                <w:sz w:val="24"/>
                <w:szCs w:val="24"/>
                <w:u w:val="none"/>
                <w:lang w:val="en-US" w:eastAsia="zh-CN" w:bidi="ar"/>
              </w:rPr>
              <w:t>院校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9" w:hRule="atLeast"/>
          <w:jc w:val="center"/>
        </w:trPr>
        <w:tc>
          <w:tcPr>
            <w:tcW w:w="5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32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上海商学院</w:t>
            </w:r>
          </w:p>
        </w:tc>
        <w:tc>
          <w:tcPr>
            <w:tcW w:w="11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徐汇</w:t>
            </w:r>
          </w:p>
        </w:tc>
        <w:tc>
          <w:tcPr>
            <w:tcW w:w="25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本科院校下设高职院校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0" w:hRule="atLeast"/>
          <w:jc w:val="center"/>
        </w:trPr>
        <w:tc>
          <w:tcPr>
            <w:tcW w:w="5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11</w:t>
            </w:r>
          </w:p>
        </w:tc>
        <w:tc>
          <w:tcPr>
            <w:tcW w:w="32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上海出版印刷高等专科学校</w:t>
            </w:r>
          </w:p>
        </w:tc>
        <w:tc>
          <w:tcPr>
            <w:tcW w:w="11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杨浦</w:t>
            </w:r>
          </w:p>
        </w:tc>
        <w:tc>
          <w:tcPr>
            <w:tcW w:w="25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国家示范性高职</w:t>
            </w:r>
            <w:r>
              <w:rPr>
                <w:rFonts w:hint="eastAsia" w:ascii="宋体" w:hAnsi="宋体" w:cs="宋体"/>
                <w:i w:val="0"/>
                <w:color w:val="000000"/>
                <w:kern w:val="0"/>
                <w:sz w:val="24"/>
                <w:szCs w:val="24"/>
                <w:u w:val="none"/>
                <w:lang w:val="en-US" w:eastAsia="zh-CN" w:bidi="ar"/>
              </w:rPr>
              <w:t>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0" w:hRule="atLeast"/>
          <w:jc w:val="center"/>
        </w:trPr>
        <w:tc>
          <w:tcPr>
            <w:tcW w:w="5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12</w:t>
            </w:r>
          </w:p>
        </w:tc>
        <w:tc>
          <w:tcPr>
            <w:tcW w:w="32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上海新闻出版职业技术学校</w:t>
            </w:r>
          </w:p>
        </w:tc>
        <w:tc>
          <w:tcPr>
            <w:tcW w:w="11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宝山</w:t>
            </w:r>
          </w:p>
        </w:tc>
        <w:tc>
          <w:tcPr>
            <w:tcW w:w="25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市级特色校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0" w:hRule="atLeast"/>
          <w:jc w:val="center"/>
        </w:trPr>
        <w:tc>
          <w:tcPr>
            <w:tcW w:w="5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13</w:t>
            </w:r>
          </w:p>
        </w:tc>
        <w:tc>
          <w:tcPr>
            <w:tcW w:w="32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上海市工程技术管理学校</w:t>
            </w:r>
          </w:p>
        </w:tc>
        <w:tc>
          <w:tcPr>
            <w:tcW w:w="11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崇明</w:t>
            </w:r>
          </w:p>
        </w:tc>
        <w:tc>
          <w:tcPr>
            <w:tcW w:w="25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国示范</w:t>
            </w:r>
            <w:r>
              <w:rPr>
                <w:rFonts w:hint="eastAsia" w:ascii="宋体" w:hAnsi="宋体" w:cs="宋体"/>
                <w:i w:val="0"/>
                <w:color w:val="000000"/>
                <w:kern w:val="0"/>
                <w:sz w:val="24"/>
                <w:szCs w:val="24"/>
                <w:u w:val="none"/>
                <w:lang w:val="en-US" w:eastAsia="zh-CN" w:bidi="ar"/>
              </w:rPr>
              <w:t>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0" w:hRule="atLeast"/>
          <w:jc w:val="center"/>
        </w:trPr>
        <w:tc>
          <w:tcPr>
            <w:tcW w:w="5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14</w:t>
            </w:r>
          </w:p>
        </w:tc>
        <w:tc>
          <w:tcPr>
            <w:tcW w:w="32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上海市奉贤中等专业学校</w:t>
            </w:r>
          </w:p>
        </w:tc>
        <w:tc>
          <w:tcPr>
            <w:tcW w:w="11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奉贤</w:t>
            </w:r>
          </w:p>
        </w:tc>
        <w:tc>
          <w:tcPr>
            <w:tcW w:w="25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国示范</w:t>
            </w:r>
            <w:r>
              <w:rPr>
                <w:rFonts w:hint="eastAsia" w:ascii="宋体" w:hAnsi="宋体" w:cs="宋体"/>
                <w:i w:val="0"/>
                <w:color w:val="000000"/>
                <w:kern w:val="0"/>
                <w:sz w:val="24"/>
                <w:szCs w:val="24"/>
                <w:u w:val="none"/>
                <w:lang w:val="en-US" w:eastAsia="zh-CN" w:bidi="ar"/>
              </w:rPr>
              <w:t>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0" w:hRule="atLeast"/>
          <w:jc w:val="center"/>
        </w:trPr>
        <w:tc>
          <w:tcPr>
            <w:tcW w:w="5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c>
          <w:tcPr>
            <w:tcW w:w="32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上海市高级技工学校</w:t>
            </w:r>
          </w:p>
        </w:tc>
        <w:tc>
          <w:tcPr>
            <w:tcW w:w="11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虹口</w:t>
            </w:r>
          </w:p>
        </w:tc>
        <w:tc>
          <w:tcPr>
            <w:tcW w:w="25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一般</w:t>
            </w:r>
            <w:r>
              <w:rPr>
                <w:rFonts w:hint="eastAsia" w:ascii="宋体" w:hAnsi="宋体" w:cs="宋体"/>
                <w:i w:val="0"/>
                <w:color w:val="000000"/>
                <w:kern w:val="0"/>
                <w:sz w:val="24"/>
                <w:szCs w:val="24"/>
                <w:u w:val="none"/>
                <w:lang w:val="en-US" w:eastAsia="zh-CN" w:bidi="ar"/>
              </w:rPr>
              <w:t>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0" w:hRule="atLeast"/>
          <w:jc w:val="center"/>
        </w:trPr>
        <w:tc>
          <w:tcPr>
            <w:tcW w:w="5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16</w:t>
            </w:r>
          </w:p>
        </w:tc>
        <w:tc>
          <w:tcPr>
            <w:tcW w:w="32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上海市大众工业学校</w:t>
            </w:r>
          </w:p>
        </w:tc>
        <w:tc>
          <w:tcPr>
            <w:tcW w:w="11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嘉定</w:t>
            </w:r>
          </w:p>
        </w:tc>
        <w:tc>
          <w:tcPr>
            <w:tcW w:w="25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国示范</w:t>
            </w:r>
            <w:r>
              <w:rPr>
                <w:rFonts w:hint="eastAsia" w:ascii="宋体" w:hAnsi="宋体" w:cs="宋体"/>
                <w:i w:val="0"/>
                <w:color w:val="000000"/>
                <w:kern w:val="0"/>
                <w:sz w:val="24"/>
                <w:szCs w:val="24"/>
                <w:u w:val="none"/>
                <w:lang w:val="en-US" w:eastAsia="zh-CN" w:bidi="ar"/>
              </w:rPr>
              <w:t>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0" w:hRule="atLeast"/>
          <w:jc w:val="center"/>
        </w:trPr>
        <w:tc>
          <w:tcPr>
            <w:tcW w:w="5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17</w:t>
            </w:r>
          </w:p>
        </w:tc>
        <w:tc>
          <w:tcPr>
            <w:tcW w:w="32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上海市行政管理学校</w:t>
            </w:r>
          </w:p>
        </w:tc>
        <w:tc>
          <w:tcPr>
            <w:tcW w:w="11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嘉定</w:t>
            </w:r>
          </w:p>
        </w:tc>
        <w:tc>
          <w:tcPr>
            <w:tcW w:w="25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市级特色校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98" w:hRule="atLeast"/>
          <w:jc w:val="center"/>
        </w:trPr>
        <w:tc>
          <w:tcPr>
            <w:tcW w:w="5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18</w:t>
            </w:r>
          </w:p>
        </w:tc>
        <w:tc>
          <w:tcPr>
            <w:tcW w:w="32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上海石化工业学校</w:t>
            </w:r>
          </w:p>
        </w:tc>
        <w:tc>
          <w:tcPr>
            <w:tcW w:w="11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金山</w:t>
            </w:r>
          </w:p>
        </w:tc>
        <w:tc>
          <w:tcPr>
            <w:tcW w:w="25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国示范</w:t>
            </w:r>
            <w:r>
              <w:rPr>
                <w:rFonts w:hint="eastAsia" w:ascii="宋体" w:hAnsi="宋体" w:cs="宋体"/>
                <w:i w:val="0"/>
                <w:color w:val="000000"/>
                <w:kern w:val="0"/>
                <w:sz w:val="24"/>
                <w:szCs w:val="24"/>
                <w:u w:val="none"/>
                <w:lang w:val="en-US" w:eastAsia="zh-CN" w:bidi="ar"/>
              </w:rPr>
              <w:t>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9" w:hRule="atLeast"/>
          <w:jc w:val="center"/>
        </w:trPr>
        <w:tc>
          <w:tcPr>
            <w:tcW w:w="5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19</w:t>
            </w:r>
          </w:p>
        </w:tc>
        <w:tc>
          <w:tcPr>
            <w:tcW w:w="32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上海食品科技学校</w:t>
            </w:r>
          </w:p>
        </w:tc>
        <w:tc>
          <w:tcPr>
            <w:tcW w:w="11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金山</w:t>
            </w:r>
          </w:p>
        </w:tc>
        <w:tc>
          <w:tcPr>
            <w:tcW w:w="25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一般</w:t>
            </w:r>
            <w:r>
              <w:rPr>
                <w:rFonts w:hint="eastAsia" w:ascii="宋体" w:hAnsi="宋体" w:cs="宋体"/>
                <w:i w:val="0"/>
                <w:color w:val="000000"/>
                <w:kern w:val="0"/>
                <w:sz w:val="24"/>
                <w:szCs w:val="24"/>
                <w:u w:val="none"/>
                <w:lang w:val="en-US" w:eastAsia="zh-CN" w:bidi="ar"/>
              </w:rPr>
              <w:t>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9" w:hRule="atLeast"/>
          <w:jc w:val="center"/>
        </w:trPr>
        <w:tc>
          <w:tcPr>
            <w:tcW w:w="5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w:t>
            </w:r>
          </w:p>
        </w:tc>
        <w:tc>
          <w:tcPr>
            <w:tcW w:w="32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上海市逸夫职业技术学校</w:t>
            </w:r>
          </w:p>
        </w:tc>
        <w:tc>
          <w:tcPr>
            <w:tcW w:w="11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静安</w:t>
            </w:r>
          </w:p>
        </w:tc>
        <w:tc>
          <w:tcPr>
            <w:tcW w:w="25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市级特色校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9" w:hRule="atLeast"/>
          <w:jc w:val="center"/>
        </w:trPr>
        <w:tc>
          <w:tcPr>
            <w:tcW w:w="5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21</w:t>
            </w:r>
          </w:p>
        </w:tc>
        <w:tc>
          <w:tcPr>
            <w:tcW w:w="32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上海市群益职业技术学校</w:t>
            </w:r>
          </w:p>
        </w:tc>
        <w:tc>
          <w:tcPr>
            <w:tcW w:w="11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闵行</w:t>
            </w:r>
          </w:p>
        </w:tc>
        <w:tc>
          <w:tcPr>
            <w:tcW w:w="25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国示范</w:t>
            </w:r>
            <w:r>
              <w:rPr>
                <w:rFonts w:hint="eastAsia" w:ascii="宋体" w:hAnsi="宋体" w:cs="宋体"/>
                <w:i w:val="0"/>
                <w:color w:val="000000"/>
                <w:kern w:val="0"/>
                <w:sz w:val="24"/>
                <w:szCs w:val="24"/>
                <w:u w:val="none"/>
                <w:lang w:val="en-US" w:eastAsia="zh-CN" w:bidi="ar"/>
              </w:rPr>
              <w:t>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9" w:hRule="atLeast"/>
          <w:jc w:val="center"/>
        </w:trPr>
        <w:tc>
          <w:tcPr>
            <w:tcW w:w="5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22</w:t>
            </w:r>
          </w:p>
        </w:tc>
        <w:tc>
          <w:tcPr>
            <w:tcW w:w="32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上海电力工业学校</w:t>
            </w:r>
          </w:p>
        </w:tc>
        <w:tc>
          <w:tcPr>
            <w:tcW w:w="11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闵行</w:t>
            </w:r>
          </w:p>
        </w:tc>
        <w:tc>
          <w:tcPr>
            <w:tcW w:w="25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一般</w:t>
            </w:r>
            <w:r>
              <w:rPr>
                <w:rFonts w:hint="eastAsia" w:ascii="宋体" w:hAnsi="宋体" w:cs="宋体"/>
                <w:i w:val="0"/>
                <w:color w:val="000000"/>
                <w:kern w:val="0"/>
                <w:sz w:val="24"/>
                <w:szCs w:val="24"/>
                <w:u w:val="none"/>
                <w:lang w:val="en-US" w:eastAsia="zh-CN" w:bidi="ar"/>
              </w:rPr>
              <w:t>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9" w:hRule="atLeast"/>
          <w:jc w:val="center"/>
        </w:trPr>
        <w:tc>
          <w:tcPr>
            <w:tcW w:w="5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23</w:t>
            </w:r>
          </w:p>
        </w:tc>
        <w:tc>
          <w:tcPr>
            <w:tcW w:w="32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上海市东辉职业技术学校</w:t>
            </w:r>
          </w:p>
        </w:tc>
        <w:tc>
          <w:tcPr>
            <w:tcW w:w="11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浦东新区</w:t>
            </w:r>
          </w:p>
        </w:tc>
        <w:tc>
          <w:tcPr>
            <w:tcW w:w="25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国示范</w:t>
            </w:r>
            <w:r>
              <w:rPr>
                <w:rFonts w:hint="eastAsia" w:ascii="宋体" w:hAnsi="宋体" w:cs="宋体"/>
                <w:i w:val="0"/>
                <w:color w:val="000000"/>
                <w:kern w:val="0"/>
                <w:sz w:val="24"/>
                <w:szCs w:val="24"/>
                <w:u w:val="none"/>
                <w:lang w:val="en-US" w:eastAsia="zh-CN" w:bidi="ar"/>
              </w:rPr>
              <w:t>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9" w:hRule="atLeast"/>
          <w:jc w:val="center"/>
        </w:trPr>
        <w:tc>
          <w:tcPr>
            <w:tcW w:w="5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24</w:t>
            </w:r>
          </w:p>
        </w:tc>
        <w:tc>
          <w:tcPr>
            <w:tcW w:w="32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上海健康医学院附属卫生学校</w:t>
            </w:r>
          </w:p>
        </w:tc>
        <w:tc>
          <w:tcPr>
            <w:tcW w:w="11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浦东新区</w:t>
            </w:r>
          </w:p>
        </w:tc>
        <w:tc>
          <w:tcPr>
            <w:tcW w:w="25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国示范</w:t>
            </w:r>
            <w:r>
              <w:rPr>
                <w:rFonts w:hint="eastAsia" w:ascii="宋体" w:hAnsi="宋体" w:cs="宋体"/>
                <w:i w:val="0"/>
                <w:color w:val="000000"/>
                <w:kern w:val="0"/>
                <w:sz w:val="24"/>
                <w:szCs w:val="24"/>
                <w:u w:val="none"/>
                <w:lang w:val="en-US" w:eastAsia="zh-CN" w:bidi="ar"/>
              </w:rPr>
              <w:t>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9" w:hRule="atLeast"/>
          <w:jc w:val="center"/>
        </w:trPr>
        <w:tc>
          <w:tcPr>
            <w:tcW w:w="5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25</w:t>
            </w:r>
          </w:p>
        </w:tc>
        <w:tc>
          <w:tcPr>
            <w:tcW w:w="32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上海市航空服务学校</w:t>
            </w:r>
          </w:p>
        </w:tc>
        <w:tc>
          <w:tcPr>
            <w:tcW w:w="11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浦东新区</w:t>
            </w:r>
          </w:p>
        </w:tc>
        <w:tc>
          <w:tcPr>
            <w:tcW w:w="25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市级特色校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14" w:hRule="atLeast"/>
          <w:jc w:val="center"/>
        </w:trPr>
        <w:tc>
          <w:tcPr>
            <w:tcW w:w="5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26</w:t>
            </w:r>
          </w:p>
        </w:tc>
        <w:tc>
          <w:tcPr>
            <w:tcW w:w="32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沪东中华造船集团高级技工学校</w:t>
            </w:r>
          </w:p>
        </w:tc>
        <w:tc>
          <w:tcPr>
            <w:tcW w:w="11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浦东新区</w:t>
            </w:r>
          </w:p>
        </w:tc>
        <w:tc>
          <w:tcPr>
            <w:tcW w:w="25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一般</w:t>
            </w:r>
            <w:r>
              <w:rPr>
                <w:rFonts w:hint="eastAsia" w:ascii="宋体" w:hAnsi="宋体" w:cs="宋体"/>
                <w:i w:val="0"/>
                <w:color w:val="000000"/>
                <w:kern w:val="0"/>
                <w:sz w:val="24"/>
                <w:szCs w:val="24"/>
                <w:u w:val="none"/>
                <w:lang w:val="en-US" w:eastAsia="zh-CN" w:bidi="ar"/>
              </w:rPr>
              <w:t>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39" w:hRule="atLeast"/>
          <w:jc w:val="center"/>
        </w:trPr>
        <w:tc>
          <w:tcPr>
            <w:tcW w:w="5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27</w:t>
            </w:r>
          </w:p>
        </w:tc>
        <w:tc>
          <w:tcPr>
            <w:tcW w:w="32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上海市曹杨职业技术学校</w:t>
            </w:r>
          </w:p>
        </w:tc>
        <w:tc>
          <w:tcPr>
            <w:tcW w:w="11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普陀</w:t>
            </w:r>
          </w:p>
        </w:tc>
        <w:tc>
          <w:tcPr>
            <w:tcW w:w="25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一般</w:t>
            </w:r>
            <w:r>
              <w:rPr>
                <w:rFonts w:hint="eastAsia" w:ascii="宋体" w:hAnsi="宋体" w:cs="宋体"/>
                <w:i w:val="0"/>
                <w:color w:val="000000"/>
                <w:kern w:val="0"/>
                <w:sz w:val="24"/>
                <w:szCs w:val="24"/>
                <w:u w:val="none"/>
                <w:lang w:val="en-US" w:eastAsia="zh-CN" w:bidi="ar"/>
              </w:rPr>
              <w:t>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9" w:hRule="atLeast"/>
          <w:jc w:val="center"/>
        </w:trPr>
        <w:tc>
          <w:tcPr>
            <w:tcW w:w="5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28</w:t>
            </w:r>
          </w:p>
        </w:tc>
        <w:tc>
          <w:tcPr>
            <w:tcW w:w="32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上海商业会计学校</w:t>
            </w:r>
          </w:p>
        </w:tc>
        <w:tc>
          <w:tcPr>
            <w:tcW w:w="11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徐汇</w:t>
            </w:r>
          </w:p>
        </w:tc>
        <w:tc>
          <w:tcPr>
            <w:tcW w:w="25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市级特色校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9" w:hRule="atLeast"/>
          <w:jc w:val="center"/>
        </w:trPr>
        <w:tc>
          <w:tcPr>
            <w:tcW w:w="5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29</w:t>
            </w:r>
          </w:p>
        </w:tc>
        <w:tc>
          <w:tcPr>
            <w:tcW w:w="32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上海市城市建设工程学校（上海市园林学校）</w:t>
            </w:r>
          </w:p>
        </w:tc>
        <w:tc>
          <w:tcPr>
            <w:tcW w:w="11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徐汇</w:t>
            </w:r>
          </w:p>
        </w:tc>
        <w:tc>
          <w:tcPr>
            <w:tcW w:w="25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市级特色校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9" w:hRule="atLeast"/>
          <w:jc w:val="center"/>
        </w:trPr>
        <w:tc>
          <w:tcPr>
            <w:tcW w:w="5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w:t>
            </w:r>
          </w:p>
        </w:tc>
        <w:tc>
          <w:tcPr>
            <w:tcW w:w="32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上海市材料工程学校</w:t>
            </w:r>
          </w:p>
        </w:tc>
        <w:tc>
          <w:tcPr>
            <w:tcW w:w="11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徐汇</w:t>
            </w:r>
          </w:p>
        </w:tc>
        <w:tc>
          <w:tcPr>
            <w:tcW w:w="25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市级特色校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49" w:hRule="atLeast"/>
          <w:jc w:val="center"/>
        </w:trPr>
        <w:tc>
          <w:tcPr>
            <w:tcW w:w="5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31</w:t>
            </w:r>
          </w:p>
        </w:tc>
        <w:tc>
          <w:tcPr>
            <w:tcW w:w="32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上海科技管理学校</w:t>
            </w:r>
          </w:p>
        </w:tc>
        <w:tc>
          <w:tcPr>
            <w:tcW w:w="11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杨浦</w:t>
            </w:r>
          </w:p>
        </w:tc>
        <w:tc>
          <w:tcPr>
            <w:tcW w:w="25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市级特色校</w:t>
            </w:r>
          </w:p>
        </w:tc>
      </w:tr>
    </w:tbl>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共调查了329名教职工，按照主要类别分，中专类学校78名，占比23.71%；职业类学校106名，占比32.22%；技工类学校18名，占比5.47%；高职院校教职工127名，占比38.6%。与上海市以上几类学校数量比例基本相符。</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eastAsia="宋体"/>
          <w:b w:val="0"/>
          <w:color w:val="auto"/>
          <w:sz w:val="21"/>
          <w:szCs w:val="21"/>
          <w:lang w:eastAsia="zh-CN"/>
        </w:rPr>
      </w:pPr>
      <w:r>
        <w:rPr>
          <w:rFonts w:hint="eastAsia"/>
          <w:b w:val="0"/>
          <w:color w:val="auto"/>
          <w:sz w:val="21"/>
          <w:szCs w:val="21"/>
          <w:lang w:eastAsia="zh-CN"/>
        </w:rPr>
        <w:t>表</w:t>
      </w:r>
      <w:r>
        <w:rPr>
          <w:rFonts w:hint="eastAsia"/>
          <w:b w:val="0"/>
          <w:color w:val="auto"/>
          <w:sz w:val="21"/>
          <w:szCs w:val="21"/>
          <w:lang w:val="en-US" w:eastAsia="zh-CN"/>
        </w:rPr>
        <w:t>2 受访者所在院校类别</w:t>
      </w:r>
    </w:p>
    <w:tbl>
      <w:tblPr>
        <w:tblStyle w:val="14"/>
        <w:tblW w:w="8980" w:type="dxa"/>
        <w:tblInd w:w="0" w:type="dxa"/>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
      <w:tblGrid>
        <w:gridCol w:w="4757"/>
        <w:gridCol w:w="1081"/>
        <w:gridCol w:w="3142"/>
      </w:tblGrid>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495" w:hRule="atLeast"/>
        </w:trPr>
        <w:tc>
          <w:tcPr>
            <w:tcW w:w="4757" w:type="dxa"/>
            <w:shd w:val="clear" w:color="auto" w:fill="E0E0E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eastAsia="宋体"/>
                <w:lang w:eastAsia="zh-CN"/>
              </w:rPr>
            </w:pPr>
            <w:r>
              <w:rPr>
                <w:rFonts w:hint="eastAsia"/>
                <w:lang w:eastAsia="zh-CN"/>
              </w:rPr>
              <w:t>所在学校类别</w:t>
            </w:r>
          </w:p>
        </w:tc>
        <w:tc>
          <w:tcPr>
            <w:tcW w:w="1081" w:type="dxa"/>
            <w:shd w:val="clear" w:color="auto" w:fill="E0E0E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pPr>
            <w:r>
              <w:t>小计</w:t>
            </w:r>
          </w:p>
        </w:tc>
        <w:tc>
          <w:tcPr>
            <w:tcW w:w="3142" w:type="dxa"/>
            <w:shd w:val="clear" w:color="auto" w:fill="E0E0E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pPr>
            <w:r>
              <w:t>比例</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616" w:hRule="atLeast"/>
        </w:trPr>
        <w:tc>
          <w:tcPr>
            <w:tcW w:w="4757"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left"/>
              <w:textAlignment w:val="auto"/>
            </w:pPr>
            <w:r>
              <w:t>中专类学校</w:t>
            </w:r>
          </w:p>
        </w:tc>
        <w:tc>
          <w:tcPr>
            <w:tcW w:w="1081"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pPr>
            <w:r>
              <w:t>78</w:t>
            </w:r>
          </w:p>
        </w:tc>
        <w:tc>
          <w:tcPr>
            <w:tcW w:w="3142"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left"/>
              <w:textAlignment w:val="auto"/>
            </w:pPr>
            <w:r>
              <w:drawing>
                <wp:inline distT="0" distB="0" distL="114300" distR="114300">
                  <wp:extent cx="333375" cy="123825"/>
                  <wp:effectExtent l="0" t="0" r="9525" b="952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5"/>
                          <a:stretch>
                            <a:fillRect/>
                          </a:stretch>
                        </pic:blipFill>
                        <pic:spPr>
                          <a:xfrm>
                            <a:off x="0" y="0"/>
                            <a:ext cx="333375" cy="123825"/>
                          </a:xfrm>
                          <a:prstGeom prst="rect">
                            <a:avLst/>
                          </a:prstGeom>
                          <a:noFill/>
                          <a:ln w="9525">
                            <a:noFill/>
                          </a:ln>
                        </pic:spPr>
                      </pic:pic>
                    </a:graphicData>
                  </a:graphic>
                </wp:inline>
              </w:drawing>
            </w:r>
            <w:r>
              <w:drawing>
                <wp:inline distT="0" distB="0" distL="114300" distR="114300">
                  <wp:extent cx="1085850" cy="123825"/>
                  <wp:effectExtent l="0" t="0" r="0" b="9525"/>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6"/>
                          <a:stretch>
                            <a:fillRect/>
                          </a:stretch>
                        </pic:blipFill>
                        <pic:spPr>
                          <a:xfrm>
                            <a:off x="0" y="0"/>
                            <a:ext cx="1085850" cy="123825"/>
                          </a:xfrm>
                          <a:prstGeom prst="rect">
                            <a:avLst/>
                          </a:prstGeom>
                          <a:noFill/>
                          <a:ln w="9525">
                            <a:noFill/>
                          </a:ln>
                        </pic:spPr>
                      </pic:pic>
                    </a:graphicData>
                  </a:graphic>
                </wp:inline>
              </w:drawing>
            </w:r>
            <w:r>
              <w:t>23.71%</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616" w:hRule="atLeast"/>
        </w:trPr>
        <w:tc>
          <w:tcPr>
            <w:tcW w:w="4757" w:type="dxa"/>
            <w:shd w:val="clear" w:color="auto" w:fill="F9F9F9"/>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left"/>
              <w:textAlignment w:val="auto"/>
            </w:pPr>
            <w:r>
              <w:t>职业类学校</w:t>
            </w:r>
          </w:p>
        </w:tc>
        <w:tc>
          <w:tcPr>
            <w:tcW w:w="1081" w:type="dxa"/>
            <w:shd w:val="clear" w:color="auto" w:fill="F9F9F9"/>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pPr>
            <w:r>
              <w:t>106</w:t>
            </w:r>
          </w:p>
        </w:tc>
        <w:tc>
          <w:tcPr>
            <w:tcW w:w="3142" w:type="dxa"/>
            <w:shd w:val="clear" w:color="auto" w:fill="F9F9F9"/>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left"/>
              <w:textAlignment w:val="auto"/>
            </w:pPr>
            <w:r>
              <w:drawing>
                <wp:inline distT="0" distB="0" distL="114300" distR="114300">
                  <wp:extent cx="457200" cy="123825"/>
                  <wp:effectExtent l="0" t="0" r="0" b="9525"/>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7"/>
                          <a:stretch>
                            <a:fillRect/>
                          </a:stretch>
                        </pic:blipFill>
                        <pic:spPr>
                          <a:xfrm>
                            <a:off x="0" y="0"/>
                            <a:ext cx="457200" cy="123825"/>
                          </a:xfrm>
                          <a:prstGeom prst="rect">
                            <a:avLst/>
                          </a:prstGeom>
                          <a:noFill/>
                          <a:ln w="9525">
                            <a:noFill/>
                          </a:ln>
                        </pic:spPr>
                      </pic:pic>
                    </a:graphicData>
                  </a:graphic>
                </wp:inline>
              </w:drawing>
            </w:r>
            <w:r>
              <w:drawing>
                <wp:inline distT="0" distB="0" distL="114300" distR="114300">
                  <wp:extent cx="962025" cy="123825"/>
                  <wp:effectExtent l="0" t="0" r="9525" b="9525"/>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pic:cNvPicPr>
                            <a:picLocks noChangeAspect="1"/>
                          </pic:cNvPicPr>
                        </pic:nvPicPr>
                        <pic:blipFill>
                          <a:blip r:embed="rId8"/>
                          <a:stretch>
                            <a:fillRect/>
                          </a:stretch>
                        </pic:blipFill>
                        <pic:spPr>
                          <a:xfrm>
                            <a:off x="0" y="0"/>
                            <a:ext cx="962025" cy="123825"/>
                          </a:xfrm>
                          <a:prstGeom prst="rect">
                            <a:avLst/>
                          </a:prstGeom>
                          <a:noFill/>
                          <a:ln w="9525">
                            <a:noFill/>
                          </a:ln>
                        </pic:spPr>
                      </pic:pic>
                    </a:graphicData>
                  </a:graphic>
                </wp:inline>
              </w:drawing>
            </w:r>
            <w:r>
              <w:t>32.22%</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616" w:hRule="atLeast"/>
        </w:trPr>
        <w:tc>
          <w:tcPr>
            <w:tcW w:w="4757"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left"/>
              <w:textAlignment w:val="auto"/>
            </w:pPr>
            <w:r>
              <w:t>技工类学校</w:t>
            </w:r>
          </w:p>
        </w:tc>
        <w:tc>
          <w:tcPr>
            <w:tcW w:w="1081"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pPr>
            <w:r>
              <w:t>18</w:t>
            </w:r>
          </w:p>
        </w:tc>
        <w:tc>
          <w:tcPr>
            <w:tcW w:w="3142"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left"/>
              <w:textAlignment w:val="auto"/>
            </w:pPr>
            <w:r>
              <w:drawing>
                <wp:inline distT="0" distB="0" distL="114300" distR="114300">
                  <wp:extent cx="76200" cy="12382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a:stretch>
                            <a:fillRect/>
                          </a:stretch>
                        </pic:blipFill>
                        <pic:spPr>
                          <a:xfrm>
                            <a:off x="0" y="0"/>
                            <a:ext cx="76200" cy="123825"/>
                          </a:xfrm>
                          <a:prstGeom prst="rect">
                            <a:avLst/>
                          </a:prstGeom>
                          <a:noFill/>
                          <a:ln w="9525">
                            <a:noFill/>
                          </a:ln>
                        </pic:spPr>
                      </pic:pic>
                    </a:graphicData>
                  </a:graphic>
                </wp:inline>
              </w:drawing>
            </w:r>
            <w:r>
              <w:drawing>
                <wp:inline distT="0" distB="0" distL="114300" distR="114300">
                  <wp:extent cx="1343025" cy="123825"/>
                  <wp:effectExtent l="0" t="0" r="9525" b="9525"/>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pic:cNvPicPr>
                            <a:picLocks noChangeAspect="1"/>
                          </pic:cNvPicPr>
                        </pic:nvPicPr>
                        <pic:blipFill>
                          <a:blip r:embed="rId10"/>
                          <a:stretch>
                            <a:fillRect/>
                          </a:stretch>
                        </pic:blipFill>
                        <pic:spPr>
                          <a:xfrm>
                            <a:off x="0" y="0"/>
                            <a:ext cx="1343025" cy="123825"/>
                          </a:xfrm>
                          <a:prstGeom prst="rect">
                            <a:avLst/>
                          </a:prstGeom>
                          <a:noFill/>
                          <a:ln w="9525">
                            <a:noFill/>
                          </a:ln>
                        </pic:spPr>
                      </pic:pic>
                    </a:graphicData>
                  </a:graphic>
                </wp:inline>
              </w:drawing>
            </w:r>
            <w:r>
              <w:t>5.47%</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616" w:hRule="atLeast"/>
        </w:trPr>
        <w:tc>
          <w:tcPr>
            <w:tcW w:w="4757" w:type="dxa"/>
            <w:shd w:val="clear" w:color="auto" w:fill="F9F9F9"/>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left"/>
              <w:textAlignment w:val="auto"/>
            </w:pPr>
            <w:r>
              <w:t>高职院校</w:t>
            </w:r>
          </w:p>
        </w:tc>
        <w:tc>
          <w:tcPr>
            <w:tcW w:w="1081" w:type="dxa"/>
            <w:shd w:val="clear" w:color="auto" w:fill="F9F9F9"/>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pPr>
            <w:r>
              <w:t>127</w:t>
            </w:r>
          </w:p>
        </w:tc>
        <w:tc>
          <w:tcPr>
            <w:tcW w:w="3142" w:type="dxa"/>
            <w:shd w:val="clear" w:color="auto" w:fill="F9F9F9"/>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left"/>
              <w:textAlignment w:val="auto"/>
            </w:pPr>
            <w:r>
              <w:drawing>
                <wp:inline distT="0" distB="0" distL="114300" distR="114300">
                  <wp:extent cx="542925" cy="123825"/>
                  <wp:effectExtent l="0" t="0" r="9525" b="9525"/>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
                          <pic:cNvPicPr>
                            <a:picLocks noChangeAspect="1"/>
                          </pic:cNvPicPr>
                        </pic:nvPicPr>
                        <pic:blipFill>
                          <a:blip r:embed="rId11"/>
                          <a:stretch>
                            <a:fillRect/>
                          </a:stretch>
                        </pic:blipFill>
                        <pic:spPr>
                          <a:xfrm>
                            <a:off x="0" y="0"/>
                            <a:ext cx="542925" cy="123825"/>
                          </a:xfrm>
                          <a:prstGeom prst="rect">
                            <a:avLst/>
                          </a:prstGeom>
                          <a:noFill/>
                          <a:ln w="9525">
                            <a:noFill/>
                          </a:ln>
                        </pic:spPr>
                      </pic:pic>
                    </a:graphicData>
                  </a:graphic>
                </wp:inline>
              </w:drawing>
            </w:r>
            <w:r>
              <w:drawing>
                <wp:inline distT="0" distB="0" distL="114300" distR="114300">
                  <wp:extent cx="876300" cy="123825"/>
                  <wp:effectExtent l="0" t="0" r="0" b="9525"/>
                  <wp:docPr id="1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pic:cNvPicPr>
                            <a:picLocks noChangeAspect="1"/>
                          </pic:cNvPicPr>
                        </pic:nvPicPr>
                        <pic:blipFill>
                          <a:blip r:embed="rId12"/>
                          <a:stretch>
                            <a:fillRect/>
                          </a:stretch>
                        </pic:blipFill>
                        <pic:spPr>
                          <a:xfrm>
                            <a:off x="0" y="0"/>
                            <a:ext cx="876300" cy="123825"/>
                          </a:xfrm>
                          <a:prstGeom prst="rect">
                            <a:avLst/>
                          </a:prstGeom>
                          <a:noFill/>
                          <a:ln w="9525">
                            <a:noFill/>
                          </a:ln>
                        </pic:spPr>
                      </pic:pic>
                    </a:graphicData>
                  </a:graphic>
                </wp:inline>
              </w:drawing>
            </w:r>
            <w:r>
              <w:t>38.6%</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505" w:hRule="atLeast"/>
        </w:trPr>
        <w:tc>
          <w:tcPr>
            <w:tcW w:w="4757" w:type="dxa"/>
            <w:shd w:val="clear" w:color="auto" w:fill="E0E0E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left"/>
              <w:textAlignment w:val="auto"/>
              <w:rPr>
                <w:rFonts w:hint="eastAsia" w:eastAsia="宋体"/>
                <w:lang w:eastAsia="zh-CN"/>
              </w:rPr>
            </w:pPr>
            <w:r>
              <w:rPr>
                <w:rFonts w:hint="eastAsia"/>
                <w:lang w:eastAsia="zh-CN"/>
              </w:rPr>
              <w:t>总计</w:t>
            </w:r>
          </w:p>
        </w:tc>
        <w:tc>
          <w:tcPr>
            <w:tcW w:w="1081" w:type="dxa"/>
            <w:shd w:val="clear" w:color="auto" w:fill="E0E0E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pPr>
            <w:r>
              <w:t>329</w:t>
            </w:r>
          </w:p>
        </w:tc>
        <w:tc>
          <w:tcPr>
            <w:tcW w:w="3142" w:type="dxa"/>
            <w:shd w:val="clear" w:color="auto" w:fill="E0E0E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left"/>
              <w:textAlignment w:val="auto"/>
            </w:pPr>
          </w:p>
        </w:tc>
      </w:tr>
    </w:tbl>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textAlignment w:val="auto"/>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bCs/>
          <w:kern w:val="0"/>
          <w:sz w:val="24"/>
          <w:szCs w:val="24"/>
          <w:lang w:val="en-US" w:eastAsia="zh-CN"/>
        </w:rPr>
      </w:pPr>
      <w:r>
        <w:rPr>
          <w:rFonts w:hint="eastAsia" w:ascii="宋体" w:hAnsi="宋体" w:cs="宋体"/>
          <w:b/>
          <w:bCs/>
          <w:kern w:val="0"/>
          <w:sz w:val="24"/>
          <w:szCs w:val="24"/>
          <w:lang w:val="en-US" w:eastAsia="zh-CN"/>
        </w:rPr>
        <w:t>二、被调查者群体特征</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default" w:ascii="宋体" w:hAnsi="宋体" w:cs="宋体"/>
          <w:b w:val="0"/>
          <w:bCs w:val="0"/>
          <w:kern w:val="0"/>
          <w:sz w:val="24"/>
          <w:szCs w:val="24"/>
          <w:lang w:val="en-US" w:eastAsia="zh-CN"/>
        </w:rPr>
      </w:pPr>
      <w:r>
        <w:rPr>
          <w:rFonts w:hint="default" w:ascii="宋体" w:hAnsi="宋体" w:cs="宋体"/>
          <w:b w:val="0"/>
          <w:bCs w:val="0"/>
          <w:kern w:val="0"/>
          <w:sz w:val="24"/>
          <w:szCs w:val="24"/>
          <w:lang w:val="en-US" w:eastAsia="zh-CN"/>
        </w:rPr>
        <w:t>在接受调研的</w:t>
      </w:r>
      <w:r>
        <w:rPr>
          <w:rFonts w:hint="eastAsia" w:ascii="宋体" w:hAnsi="宋体" w:cs="宋体"/>
          <w:b w:val="0"/>
          <w:bCs w:val="0"/>
          <w:kern w:val="0"/>
          <w:sz w:val="24"/>
          <w:szCs w:val="24"/>
          <w:lang w:val="en-US" w:eastAsia="zh-CN"/>
        </w:rPr>
        <w:t>329名教职工</w:t>
      </w:r>
      <w:r>
        <w:rPr>
          <w:rFonts w:hint="default" w:ascii="宋体" w:hAnsi="宋体" w:cs="宋体"/>
          <w:b w:val="0"/>
          <w:bCs w:val="0"/>
          <w:kern w:val="0"/>
          <w:sz w:val="24"/>
          <w:szCs w:val="24"/>
          <w:lang w:val="en-US" w:eastAsia="zh-CN"/>
        </w:rPr>
        <w:t>中，</w:t>
      </w:r>
      <w:r>
        <w:rPr>
          <w:rFonts w:hint="eastAsia" w:ascii="宋体" w:hAnsi="宋体" w:cs="宋体"/>
          <w:b w:val="0"/>
          <w:bCs w:val="0"/>
          <w:kern w:val="0"/>
          <w:sz w:val="24"/>
          <w:szCs w:val="24"/>
          <w:lang w:val="en-US" w:eastAsia="zh-CN"/>
        </w:rPr>
        <w:t>男女比例是24.92%和75.08%。从一定程度上反映我市职业院校女教师占多数。</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bCs/>
          <w:kern w:val="0"/>
          <w:sz w:val="24"/>
          <w:szCs w:val="24"/>
          <w:lang w:val="en-US" w:eastAsia="zh-CN"/>
        </w:rPr>
      </w:pPr>
      <w:r>
        <w:rPr>
          <w:rFonts w:hint="eastAsia" w:ascii="宋体" w:hAnsi="宋体" w:cs="宋体"/>
          <w:b/>
          <w:bCs/>
          <w:kern w:val="0"/>
          <w:sz w:val="24"/>
          <w:szCs w:val="24"/>
          <w:lang w:val="en-US" w:eastAsia="zh-CN"/>
        </w:rPr>
        <w:t>（一）年龄与教龄结构特征</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年龄结构从比例上看，25岁及以下的教职工13名，占比3.95%；26至35岁的教职工有123名，占比37.39%；36至50岁教职工有150名，占比45.5%；51岁及以上教职工有43名，占比13.07%。35岁以下教职工占比41.34%。</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default"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表3年龄结构分布</w:t>
      </w:r>
    </w:p>
    <w:tbl>
      <w:tblPr>
        <w:tblStyle w:val="14"/>
        <w:tblpPr w:leftFromText="180" w:rightFromText="180" w:vertAnchor="text" w:horzAnchor="page" w:tblpX="1799" w:tblpY="216"/>
        <w:tblOverlap w:val="never"/>
        <w:tblW w:w="9180" w:type="dxa"/>
        <w:tblInd w:w="0" w:type="dxa"/>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
      <w:tblGrid>
        <w:gridCol w:w="3715"/>
        <w:gridCol w:w="1650"/>
        <w:gridCol w:w="3815"/>
      </w:tblGrid>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275" w:hRule="atLeast"/>
        </w:trPr>
        <w:tc>
          <w:tcPr>
            <w:tcW w:w="3715" w:type="dxa"/>
            <w:shd w:val="clear" w:color="auto" w:fill="E0E0E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年龄结构</w:t>
            </w:r>
          </w:p>
        </w:tc>
        <w:tc>
          <w:tcPr>
            <w:tcW w:w="1650" w:type="dxa"/>
            <w:shd w:val="clear" w:color="auto" w:fill="E0E0E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小计</w:t>
            </w:r>
          </w:p>
        </w:tc>
        <w:tc>
          <w:tcPr>
            <w:tcW w:w="3815" w:type="dxa"/>
            <w:shd w:val="clear" w:color="auto" w:fill="E0E0E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比例</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341" w:hRule="atLeast"/>
        </w:trPr>
        <w:tc>
          <w:tcPr>
            <w:tcW w:w="3715"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25岁及其以下</w:t>
            </w:r>
          </w:p>
        </w:tc>
        <w:tc>
          <w:tcPr>
            <w:tcW w:w="1650"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13</w:t>
            </w:r>
          </w:p>
        </w:tc>
        <w:tc>
          <w:tcPr>
            <w:tcW w:w="3815"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drawing>
                <wp:inline distT="0" distB="0" distL="114300" distR="114300">
                  <wp:extent cx="47625" cy="123825"/>
                  <wp:effectExtent l="0" t="0" r="9525" b="9525"/>
                  <wp:docPr id="1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9"/>
                          <pic:cNvPicPr>
                            <a:picLocks noChangeAspect="1"/>
                          </pic:cNvPicPr>
                        </pic:nvPicPr>
                        <pic:blipFill>
                          <a:blip r:embed="rId13"/>
                          <a:stretch>
                            <a:fillRect/>
                          </a:stretch>
                        </pic:blipFill>
                        <pic:spPr>
                          <a:xfrm>
                            <a:off x="0" y="0"/>
                            <a:ext cx="47625"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drawing>
                <wp:inline distT="0" distB="0" distL="114300" distR="114300">
                  <wp:extent cx="1371600" cy="123825"/>
                  <wp:effectExtent l="0" t="0" r="0" b="9525"/>
                  <wp:docPr id="1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0"/>
                          <pic:cNvPicPr>
                            <a:picLocks noChangeAspect="1"/>
                          </pic:cNvPicPr>
                        </pic:nvPicPr>
                        <pic:blipFill>
                          <a:blip r:embed="rId14"/>
                          <a:stretch>
                            <a:fillRect/>
                          </a:stretch>
                        </pic:blipFill>
                        <pic:spPr>
                          <a:xfrm>
                            <a:off x="0" y="0"/>
                            <a:ext cx="1371600"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t>3.95%</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341" w:hRule="atLeast"/>
        </w:trPr>
        <w:tc>
          <w:tcPr>
            <w:tcW w:w="3715" w:type="dxa"/>
            <w:shd w:val="clear" w:color="auto" w:fill="F9F9F9"/>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26-35岁</w:t>
            </w:r>
          </w:p>
        </w:tc>
        <w:tc>
          <w:tcPr>
            <w:tcW w:w="1650" w:type="dxa"/>
            <w:shd w:val="clear" w:color="auto" w:fill="F9F9F9"/>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123</w:t>
            </w:r>
          </w:p>
        </w:tc>
        <w:tc>
          <w:tcPr>
            <w:tcW w:w="3815" w:type="dxa"/>
            <w:shd w:val="clear" w:color="auto" w:fill="F9F9F9"/>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drawing>
                <wp:inline distT="0" distB="0" distL="114300" distR="114300">
                  <wp:extent cx="523875" cy="123825"/>
                  <wp:effectExtent l="0" t="0" r="9525" b="9525"/>
                  <wp:docPr id="1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1"/>
                          <pic:cNvPicPr>
                            <a:picLocks noChangeAspect="1"/>
                          </pic:cNvPicPr>
                        </pic:nvPicPr>
                        <pic:blipFill>
                          <a:blip r:embed="rId15"/>
                          <a:stretch>
                            <a:fillRect/>
                          </a:stretch>
                        </pic:blipFill>
                        <pic:spPr>
                          <a:xfrm>
                            <a:off x="0" y="0"/>
                            <a:ext cx="523875"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drawing>
                <wp:inline distT="0" distB="0" distL="114300" distR="114300">
                  <wp:extent cx="895350" cy="123825"/>
                  <wp:effectExtent l="0" t="0" r="0" b="9525"/>
                  <wp:docPr id="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2"/>
                          <pic:cNvPicPr>
                            <a:picLocks noChangeAspect="1"/>
                          </pic:cNvPicPr>
                        </pic:nvPicPr>
                        <pic:blipFill>
                          <a:blip r:embed="rId16"/>
                          <a:stretch>
                            <a:fillRect/>
                          </a:stretch>
                        </pic:blipFill>
                        <pic:spPr>
                          <a:xfrm>
                            <a:off x="0" y="0"/>
                            <a:ext cx="895350"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t>37.39%</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341" w:hRule="atLeast"/>
        </w:trPr>
        <w:tc>
          <w:tcPr>
            <w:tcW w:w="3715"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36-50岁</w:t>
            </w:r>
          </w:p>
        </w:tc>
        <w:tc>
          <w:tcPr>
            <w:tcW w:w="1650"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150</w:t>
            </w:r>
          </w:p>
        </w:tc>
        <w:tc>
          <w:tcPr>
            <w:tcW w:w="3815"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drawing>
                <wp:inline distT="0" distB="0" distL="114300" distR="114300">
                  <wp:extent cx="638175" cy="123825"/>
                  <wp:effectExtent l="0" t="0" r="9525" b="9525"/>
                  <wp:docPr id="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3"/>
                          <pic:cNvPicPr>
                            <a:picLocks noChangeAspect="1"/>
                          </pic:cNvPicPr>
                        </pic:nvPicPr>
                        <pic:blipFill>
                          <a:blip r:embed="rId17"/>
                          <a:stretch>
                            <a:fillRect/>
                          </a:stretch>
                        </pic:blipFill>
                        <pic:spPr>
                          <a:xfrm>
                            <a:off x="0" y="0"/>
                            <a:ext cx="638175"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drawing>
                <wp:inline distT="0" distB="0" distL="114300" distR="114300">
                  <wp:extent cx="781050" cy="123825"/>
                  <wp:effectExtent l="0" t="0" r="0"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8"/>
                          <a:stretch>
                            <a:fillRect/>
                          </a:stretch>
                        </pic:blipFill>
                        <pic:spPr>
                          <a:xfrm>
                            <a:off x="0" y="0"/>
                            <a:ext cx="781050"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t>45.59%</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341" w:hRule="atLeast"/>
        </w:trPr>
        <w:tc>
          <w:tcPr>
            <w:tcW w:w="3715" w:type="dxa"/>
            <w:shd w:val="clear" w:color="auto" w:fill="F9F9F9"/>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51岁及其以上</w:t>
            </w:r>
          </w:p>
        </w:tc>
        <w:tc>
          <w:tcPr>
            <w:tcW w:w="1650" w:type="dxa"/>
            <w:shd w:val="clear" w:color="auto" w:fill="F9F9F9"/>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43</w:t>
            </w:r>
          </w:p>
        </w:tc>
        <w:tc>
          <w:tcPr>
            <w:tcW w:w="3815" w:type="dxa"/>
            <w:shd w:val="clear" w:color="auto" w:fill="F9F9F9"/>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drawing>
                <wp:inline distT="0" distB="0" distL="114300" distR="114300">
                  <wp:extent cx="180975" cy="123825"/>
                  <wp:effectExtent l="0" t="0" r="9525"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9"/>
                          <a:stretch>
                            <a:fillRect/>
                          </a:stretch>
                        </pic:blipFill>
                        <pic:spPr>
                          <a:xfrm>
                            <a:off x="0" y="0"/>
                            <a:ext cx="180975"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drawing>
                <wp:inline distT="0" distB="0" distL="114300" distR="114300">
                  <wp:extent cx="1238250" cy="123825"/>
                  <wp:effectExtent l="0" t="0" r="0"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20"/>
                          <a:stretch>
                            <a:fillRect/>
                          </a:stretch>
                        </pic:blipFill>
                        <pic:spPr>
                          <a:xfrm>
                            <a:off x="0" y="0"/>
                            <a:ext cx="1238250"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t>13.07%</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280" w:hRule="atLeast"/>
        </w:trPr>
        <w:tc>
          <w:tcPr>
            <w:tcW w:w="3715" w:type="dxa"/>
            <w:shd w:val="clear" w:color="auto" w:fill="E0E0E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总计</w:t>
            </w:r>
          </w:p>
        </w:tc>
        <w:tc>
          <w:tcPr>
            <w:tcW w:w="1650" w:type="dxa"/>
            <w:shd w:val="clear" w:color="auto" w:fill="E0E0E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329</w:t>
            </w:r>
          </w:p>
        </w:tc>
        <w:tc>
          <w:tcPr>
            <w:tcW w:w="3815" w:type="dxa"/>
            <w:shd w:val="clear" w:color="auto" w:fill="E0E0E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小于5年的教师有45名，占比13.68%；3至5年教师有49名，占比14.89%；6至15年的教师有132名，占比40.12%；16至30年教师81名，占比24.62%；大于30年教师22名，占比6.69%。</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表4教龄结构分布</w:t>
      </w:r>
    </w:p>
    <w:tbl>
      <w:tblPr>
        <w:tblStyle w:val="14"/>
        <w:tblW w:w="9080" w:type="dxa"/>
        <w:tblInd w:w="0" w:type="dxa"/>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
      <w:tblGrid>
        <w:gridCol w:w="2843"/>
        <w:gridCol w:w="1407"/>
        <w:gridCol w:w="4830"/>
      </w:tblGrid>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282" w:hRule="atLeast"/>
        </w:trPr>
        <w:tc>
          <w:tcPr>
            <w:tcW w:w="2843" w:type="dxa"/>
            <w:shd w:val="clear" w:color="auto" w:fill="E0E0E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教龄</w:t>
            </w:r>
          </w:p>
        </w:tc>
        <w:tc>
          <w:tcPr>
            <w:tcW w:w="1407" w:type="dxa"/>
            <w:shd w:val="clear" w:color="auto" w:fill="E0E0E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小计</w:t>
            </w:r>
          </w:p>
        </w:tc>
        <w:tc>
          <w:tcPr>
            <w:tcW w:w="4830" w:type="dxa"/>
            <w:shd w:val="clear" w:color="auto" w:fill="E0E0E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比例</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349" w:hRule="atLeast"/>
        </w:trPr>
        <w:tc>
          <w:tcPr>
            <w:tcW w:w="2843"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小于3年</w:t>
            </w:r>
          </w:p>
        </w:tc>
        <w:tc>
          <w:tcPr>
            <w:tcW w:w="1407"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45</w:t>
            </w:r>
          </w:p>
        </w:tc>
        <w:tc>
          <w:tcPr>
            <w:tcW w:w="4830"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drawing>
                <wp:inline distT="0" distB="0" distL="114300" distR="114300">
                  <wp:extent cx="190500" cy="123825"/>
                  <wp:effectExtent l="0" t="0" r="0"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21"/>
                          <a:stretch>
                            <a:fillRect/>
                          </a:stretch>
                        </pic:blipFill>
                        <pic:spPr>
                          <a:xfrm>
                            <a:off x="0" y="0"/>
                            <a:ext cx="190500"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drawing>
                <wp:inline distT="0" distB="0" distL="114300" distR="114300">
                  <wp:extent cx="1228725" cy="123825"/>
                  <wp:effectExtent l="0" t="0" r="9525" b="952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22"/>
                          <a:stretch>
                            <a:fillRect/>
                          </a:stretch>
                        </pic:blipFill>
                        <pic:spPr>
                          <a:xfrm>
                            <a:off x="0" y="0"/>
                            <a:ext cx="1228725"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t>13.68%</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349" w:hRule="atLeast"/>
        </w:trPr>
        <w:tc>
          <w:tcPr>
            <w:tcW w:w="2843" w:type="dxa"/>
            <w:shd w:val="clear" w:color="auto" w:fill="F9F9F9"/>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3至5年</w:t>
            </w:r>
          </w:p>
        </w:tc>
        <w:tc>
          <w:tcPr>
            <w:tcW w:w="1407" w:type="dxa"/>
            <w:shd w:val="clear" w:color="auto" w:fill="F9F9F9"/>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49</w:t>
            </w:r>
          </w:p>
        </w:tc>
        <w:tc>
          <w:tcPr>
            <w:tcW w:w="4830" w:type="dxa"/>
            <w:shd w:val="clear" w:color="auto" w:fill="F9F9F9"/>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drawing>
                <wp:inline distT="0" distB="0" distL="114300" distR="114300">
                  <wp:extent cx="209550" cy="123825"/>
                  <wp:effectExtent l="0" t="0" r="0" b="952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23"/>
                          <a:stretch>
                            <a:fillRect/>
                          </a:stretch>
                        </pic:blipFill>
                        <pic:spPr>
                          <a:xfrm>
                            <a:off x="0" y="0"/>
                            <a:ext cx="209550"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drawing>
                <wp:inline distT="0" distB="0" distL="114300" distR="114300">
                  <wp:extent cx="1209675" cy="123825"/>
                  <wp:effectExtent l="0" t="0" r="9525" b="952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24"/>
                          <a:stretch>
                            <a:fillRect/>
                          </a:stretch>
                        </pic:blipFill>
                        <pic:spPr>
                          <a:xfrm>
                            <a:off x="0" y="0"/>
                            <a:ext cx="1209675"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t>14.89%</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349" w:hRule="atLeast"/>
        </w:trPr>
        <w:tc>
          <w:tcPr>
            <w:tcW w:w="2843"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6至15年</w:t>
            </w:r>
          </w:p>
        </w:tc>
        <w:tc>
          <w:tcPr>
            <w:tcW w:w="1407"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132</w:t>
            </w:r>
          </w:p>
        </w:tc>
        <w:tc>
          <w:tcPr>
            <w:tcW w:w="4830"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drawing>
                <wp:inline distT="0" distB="0" distL="114300" distR="114300">
                  <wp:extent cx="561975" cy="123825"/>
                  <wp:effectExtent l="0" t="0" r="9525" b="952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25"/>
                          <a:stretch>
                            <a:fillRect/>
                          </a:stretch>
                        </pic:blipFill>
                        <pic:spPr>
                          <a:xfrm>
                            <a:off x="0" y="0"/>
                            <a:ext cx="561975"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drawing>
                <wp:inline distT="0" distB="0" distL="114300" distR="114300">
                  <wp:extent cx="857250" cy="123825"/>
                  <wp:effectExtent l="0" t="0" r="0" b="952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26"/>
                          <a:stretch>
                            <a:fillRect/>
                          </a:stretch>
                        </pic:blipFill>
                        <pic:spPr>
                          <a:xfrm>
                            <a:off x="0" y="0"/>
                            <a:ext cx="857250"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t>40.12%</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349" w:hRule="atLeast"/>
        </w:trPr>
        <w:tc>
          <w:tcPr>
            <w:tcW w:w="2843" w:type="dxa"/>
            <w:shd w:val="clear" w:color="auto" w:fill="F9F9F9"/>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16至30年</w:t>
            </w:r>
          </w:p>
        </w:tc>
        <w:tc>
          <w:tcPr>
            <w:tcW w:w="1407" w:type="dxa"/>
            <w:shd w:val="clear" w:color="auto" w:fill="F9F9F9"/>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81</w:t>
            </w:r>
          </w:p>
        </w:tc>
        <w:tc>
          <w:tcPr>
            <w:tcW w:w="4830" w:type="dxa"/>
            <w:shd w:val="clear" w:color="auto" w:fill="F9F9F9"/>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drawing>
                <wp:inline distT="0" distB="0" distL="114300" distR="114300">
                  <wp:extent cx="342900" cy="123825"/>
                  <wp:effectExtent l="0" t="0" r="0" b="952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27"/>
                          <a:stretch>
                            <a:fillRect/>
                          </a:stretch>
                        </pic:blipFill>
                        <pic:spPr>
                          <a:xfrm>
                            <a:off x="0" y="0"/>
                            <a:ext cx="342900"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drawing>
                <wp:inline distT="0" distB="0" distL="114300" distR="114300">
                  <wp:extent cx="1076325" cy="123825"/>
                  <wp:effectExtent l="0" t="0" r="9525" b="952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28"/>
                          <a:stretch>
                            <a:fillRect/>
                          </a:stretch>
                        </pic:blipFill>
                        <pic:spPr>
                          <a:xfrm>
                            <a:off x="0" y="0"/>
                            <a:ext cx="1076325"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t>24.62%</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349" w:hRule="atLeast"/>
        </w:trPr>
        <w:tc>
          <w:tcPr>
            <w:tcW w:w="2843"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大于30年</w:t>
            </w:r>
          </w:p>
        </w:tc>
        <w:tc>
          <w:tcPr>
            <w:tcW w:w="1407"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22</w:t>
            </w:r>
          </w:p>
        </w:tc>
        <w:tc>
          <w:tcPr>
            <w:tcW w:w="4830"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drawing>
                <wp:inline distT="0" distB="0" distL="114300" distR="114300">
                  <wp:extent cx="85725" cy="123825"/>
                  <wp:effectExtent l="0" t="0" r="9525" b="952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29"/>
                          <a:stretch>
                            <a:fillRect/>
                          </a:stretch>
                        </pic:blipFill>
                        <pic:spPr>
                          <a:xfrm>
                            <a:off x="0" y="0"/>
                            <a:ext cx="85725"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drawing>
                <wp:inline distT="0" distB="0" distL="114300" distR="114300">
                  <wp:extent cx="1333500" cy="123825"/>
                  <wp:effectExtent l="0" t="0" r="0" b="952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30"/>
                          <a:stretch>
                            <a:fillRect/>
                          </a:stretch>
                        </pic:blipFill>
                        <pic:spPr>
                          <a:xfrm>
                            <a:off x="0" y="0"/>
                            <a:ext cx="1333500"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t>6.69%</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293" w:hRule="atLeast"/>
        </w:trPr>
        <w:tc>
          <w:tcPr>
            <w:tcW w:w="2843" w:type="dxa"/>
            <w:shd w:val="clear" w:color="auto" w:fill="E0E0E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总计</w:t>
            </w:r>
          </w:p>
        </w:tc>
        <w:tc>
          <w:tcPr>
            <w:tcW w:w="1407" w:type="dxa"/>
            <w:shd w:val="clear" w:color="auto" w:fill="E0E0E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329</w:t>
            </w:r>
          </w:p>
        </w:tc>
        <w:tc>
          <w:tcPr>
            <w:tcW w:w="4830" w:type="dxa"/>
            <w:shd w:val="clear" w:color="auto" w:fill="E0E0E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default"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可以看出，这种年龄分布和教龄分布，充分说明此项调查主要反映我市职业院校年轻教师（教职工）状况与诉求。</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bCs/>
          <w:kern w:val="0"/>
          <w:sz w:val="24"/>
          <w:szCs w:val="24"/>
          <w:lang w:val="en-US" w:eastAsia="zh-CN"/>
        </w:rPr>
      </w:pPr>
      <w:r>
        <w:rPr>
          <w:rFonts w:hint="eastAsia" w:ascii="宋体" w:hAnsi="宋体" w:cs="宋体"/>
          <w:b/>
          <w:bCs/>
          <w:kern w:val="0"/>
          <w:sz w:val="24"/>
          <w:szCs w:val="24"/>
          <w:lang w:val="en-US" w:eastAsia="zh-CN"/>
        </w:rPr>
        <w:t>（二）学历特征</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被调查者的最高学历分布如下表，大专学历教师17名，占比5.17%；本科学历178名，占比54.1%；硕士研究生118名，占比35.8%；未有博士后；其他学历6人，占比1.82%。</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表5 学历结构分布</w:t>
      </w:r>
    </w:p>
    <w:tbl>
      <w:tblPr>
        <w:tblStyle w:val="14"/>
        <w:tblW w:w="9060" w:type="dxa"/>
        <w:tblInd w:w="0" w:type="dxa"/>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
      <w:tblGrid>
        <w:gridCol w:w="3153"/>
        <w:gridCol w:w="1247"/>
        <w:gridCol w:w="4660"/>
      </w:tblGrid>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307" w:hRule="atLeast"/>
        </w:trPr>
        <w:tc>
          <w:tcPr>
            <w:tcW w:w="3153" w:type="dxa"/>
            <w:shd w:val="clear" w:color="auto" w:fill="E0E0E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学历结构</w:t>
            </w:r>
          </w:p>
        </w:tc>
        <w:tc>
          <w:tcPr>
            <w:tcW w:w="1247" w:type="dxa"/>
            <w:shd w:val="clear" w:color="auto" w:fill="E0E0E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小计</w:t>
            </w:r>
          </w:p>
        </w:tc>
        <w:tc>
          <w:tcPr>
            <w:tcW w:w="4660" w:type="dxa"/>
            <w:shd w:val="clear" w:color="auto" w:fill="E0E0E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比例</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382" w:hRule="atLeast"/>
        </w:trPr>
        <w:tc>
          <w:tcPr>
            <w:tcW w:w="3153"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大专</w:t>
            </w:r>
          </w:p>
        </w:tc>
        <w:tc>
          <w:tcPr>
            <w:tcW w:w="1247"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17</w:t>
            </w:r>
          </w:p>
        </w:tc>
        <w:tc>
          <w:tcPr>
            <w:tcW w:w="4660"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drawing>
                <wp:inline distT="0" distB="0" distL="114300" distR="114300">
                  <wp:extent cx="66675" cy="123825"/>
                  <wp:effectExtent l="0" t="0" r="9525" b="952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31"/>
                          <a:stretch>
                            <a:fillRect/>
                          </a:stretch>
                        </pic:blipFill>
                        <pic:spPr>
                          <a:xfrm>
                            <a:off x="0" y="0"/>
                            <a:ext cx="66675"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drawing>
                <wp:inline distT="0" distB="0" distL="114300" distR="114300">
                  <wp:extent cx="1352550" cy="123825"/>
                  <wp:effectExtent l="0" t="0" r="0" b="952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32"/>
                          <a:stretch>
                            <a:fillRect/>
                          </a:stretch>
                        </pic:blipFill>
                        <pic:spPr>
                          <a:xfrm>
                            <a:off x="0" y="0"/>
                            <a:ext cx="1352550"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t>5.17%</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382" w:hRule="atLeast"/>
        </w:trPr>
        <w:tc>
          <w:tcPr>
            <w:tcW w:w="3153" w:type="dxa"/>
            <w:shd w:val="clear" w:color="auto" w:fill="F9F9F9"/>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本科</w:t>
            </w:r>
          </w:p>
        </w:tc>
        <w:tc>
          <w:tcPr>
            <w:tcW w:w="1247" w:type="dxa"/>
            <w:shd w:val="clear" w:color="auto" w:fill="F9F9F9"/>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178</w:t>
            </w:r>
          </w:p>
        </w:tc>
        <w:tc>
          <w:tcPr>
            <w:tcW w:w="4660" w:type="dxa"/>
            <w:shd w:val="clear" w:color="auto" w:fill="F9F9F9"/>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drawing>
                <wp:inline distT="0" distB="0" distL="114300" distR="114300">
                  <wp:extent cx="762000" cy="123825"/>
                  <wp:effectExtent l="0" t="0" r="0" b="952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33"/>
                          <a:stretch>
                            <a:fillRect/>
                          </a:stretch>
                        </pic:blipFill>
                        <pic:spPr>
                          <a:xfrm>
                            <a:off x="0" y="0"/>
                            <a:ext cx="762000"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drawing>
                <wp:inline distT="0" distB="0" distL="114300" distR="114300">
                  <wp:extent cx="657225" cy="123825"/>
                  <wp:effectExtent l="0" t="0" r="9525" b="952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34"/>
                          <a:stretch>
                            <a:fillRect/>
                          </a:stretch>
                        </pic:blipFill>
                        <pic:spPr>
                          <a:xfrm>
                            <a:off x="0" y="0"/>
                            <a:ext cx="657225"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t>54.1%</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382" w:hRule="atLeast"/>
        </w:trPr>
        <w:tc>
          <w:tcPr>
            <w:tcW w:w="3153"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硕士研究生</w:t>
            </w:r>
          </w:p>
        </w:tc>
        <w:tc>
          <w:tcPr>
            <w:tcW w:w="1247"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118</w:t>
            </w:r>
          </w:p>
        </w:tc>
        <w:tc>
          <w:tcPr>
            <w:tcW w:w="4660"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drawing>
                <wp:inline distT="0" distB="0" distL="114300" distR="114300">
                  <wp:extent cx="504825" cy="123825"/>
                  <wp:effectExtent l="0" t="0" r="9525" b="952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35"/>
                          <a:stretch>
                            <a:fillRect/>
                          </a:stretch>
                        </pic:blipFill>
                        <pic:spPr>
                          <a:xfrm>
                            <a:off x="0" y="0"/>
                            <a:ext cx="504825"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drawing>
                <wp:inline distT="0" distB="0" distL="114300" distR="114300">
                  <wp:extent cx="914400" cy="123825"/>
                  <wp:effectExtent l="0" t="0" r="0" b="952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36"/>
                          <a:stretch>
                            <a:fillRect/>
                          </a:stretch>
                        </pic:blipFill>
                        <pic:spPr>
                          <a:xfrm>
                            <a:off x="0" y="0"/>
                            <a:ext cx="914400"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t>35.87%</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382" w:hRule="atLeast"/>
        </w:trPr>
        <w:tc>
          <w:tcPr>
            <w:tcW w:w="3153" w:type="dxa"/>
            <w:shd w:val="clear" w:color="auto" w:fill="F9F9F9"/>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博士研究生</w:t>
            </w:r>
          </w:p>
        </w:tc>
        <w:tc>
          <w:tcPr>
            <w:tcW w:w="1247" w:type="dxa"/>
            <w:shd w:val="clear" w:color="auto" w:fill="F9F9F9"/>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10</w:t>
            </w:r>
          </w:p>
        </w:tc>
        <w:tc>
          <w:tcPr>
            <w:tcW w:w="4660" w:type="dxa"/>
            <w:shd w:val="clear" w:color="auto" w:fill="F9F9F9"/>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drawing>
                <wp:inline distT="0" distB="0" distL="114300" distR="114300">
                  <wp:extent cx="38100" cy="123825"/>
                  <wp:effectExtent l="0" t="0" r="0" b="952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37"/>
                          <a:stretch>
                            <a:fillRect/>
                          </a:stretch>
                        </pic:blipFill>
                        <pic:spPr>
                          <a:xfrm>
                            <a:off x="0" y="0"/>
                            <a:ext cx="38100"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drawing>
                <wp:inline distT="0" distB="0" distL="114300" distR="114300">
                  <wp:extent cx="1381125" cy="123825"/>
                  <wp:effectExtent l="0" t="0" r="9525" b="952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pic:cNvPicPr>
                        </pic:nvPicPr>
                        <pic:blipFill>
                          <a:blip r:embed="rId38"/>
                          <a:stretch>
                            <a:fillRect/>
                          </a:stretch>
                        </pic:blipFill>
                        <pic:spPr>
                          <a:xfrm>
                            <a:off x="0" y="0"/>
                            <a:ext cx="1381125"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t>3.04%</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307" w:hRule="atLeast"/>
        </w:trPr>
        <w:tc>
          <w:tcPr>
            <w:tcW w:w="3153"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博士后</w:t>
            </w:r>
          </w:p>
        </w:tc>
        <w:tc>
          <w:tcPr>
            <w:tcW w:w="1247"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0</w:t>
            </w:r>
          </w:p>
        </w:tc>
        <w:tc>
          <w:tcPr>
            <w:tcW w:w="4660"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drawing>
                <wp:inline distT="0" distB="0" distL="114300" distR="114300">
                  <wp:extent cx="1419225" cy="123825"/>
                  <wp:effectExtent l="0" t="0" r="9525" b="952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pic:cNvPicPr>
                        </pic:nvPicPr>
                        <pic:blipFill>
                          <a:blip r:embed="rId39"/>
                          <a:stretch>
                            <a:fillRect/>
                          </a:stretch>
                        </pic:blipFill>
                        <pic:spPr>
                          <a:xfrm>
                            <a:off x="0" y="0"/>
                            <a:ext cx="1419225"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t>0%</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382" w:hRule="atLeast"/>
        </w:trPr>
        <w:tc>
          <w:tcPr>
            <w:tcW w:w="3153" w:type="dxa"/>
            <w:shd w:val="clear" w:color="auto" w:fill="F9F9F9"/>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其他</w:t>
            </w:r>
          </w:p>
        </w:tc>
        <w:tc>
          <w:tcPr>
            <w:tcW w:w="1247" w:type="dxa"/>
            <w:shd w:val="clear" w:color="auto" w:fill="F9F9F9"/>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6</w:t>
            </w:r>
          </w:p>
        </w:tc>
        <w:tc>
          <w:tcPr>
            <w:tcW w:w="4660" w:type="dxa"/>
            <w:shd w:val="clear" w:color="auto" w:fill="F9F9F9"/>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drawing>
                <wp:inline distT="0" distB="0" distL="114300" distR="114300">
                  <wp:extent cx="19050" cy="123825"/>
                  <wp:effectExtent l="0" t="0" r="0" b="952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pic:cNvPicPr>
                        </pic:nvPicPr>
                        <pic:blipFill>
                          <a:blip r:embed="rId40"/>
                          <a:stretch>
                            <a:fillRect/>
                          </a:stretch>
                        </pic:blipFill>
                        <pic:spPr>
                          <a:xfrm>
                            <a:off x="0" y="0"/>
                            <a:ext cx="19050"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drawing>
                <wp:inline distT="0" distB="0" distL="114300" distR="114300">
                  <wp:extent cx="1400175" cy="123825"/>
                  <wp:effectExtent l="0" t="0" r="9525" b="952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pic:cNvPicPr>
                        </pic:nvPicPr>
                        <pic:blipFill>
                          <a:blip r:embed="rId41"/>
                          <a:stretch>
                            <a:fillRect/>
                          </a:stretch>
                        </pic:blipFill>
                        <pic:spPr>
                          <a:xfrm>
                            <a:off x="0" y="0"/>
                            <a:ext cx="1400175"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t>1.82%</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313" w:hRule="atLeast"/>
        </w:trPr>
        <w:tc>
          <w:tcPr>
            <w:tcW w:w="3153" w:type="dxa"/>
            <w:shd w:val="clear" w:color="auto" w:fill="E0E0E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总计</w:t>
            </w:r>
          </w:p>
        </w:tc>
        <w:tc>
          <w:tcPr>
            <w:tcW w:w="1247" w:type="dxa"/>
            <w:shd w:val="clear" w:color="auto" w:fill="E0E0E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329</w:t>
            </w:r>
          </w:p>
        </w:tc>
        <w:tc>
          <w:tcPr>
            <w:tcW w:w="4660" w:type="dxa"/>
            <w:shd w:val="clear" w:color="auto" w:fill="E0E0E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此次调研对象所反映的我市职业院校教职工的学历主要集中于本科生和硕士研究生，二者之和所占比例高达的89.9%，博士研究生在职业院校也有一定比例。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bCs/>
          <w:kern w:val="0"/>
          <w:sz w:val="24"/>
          <w:szCs w:val="24"/>
          <w:lang w:val="en-US" w:eastAsia="zh-CN"/>
        </w:rPr>
      </w:pPr>
      <w:r>
        <w:rPr>
          <w:rFonts w:hint="eastAsia" w:ascii="宋体" w:hAnsi="宋体" w:cs="宋体"/>
          <w:b/>
          <w:bCs/>
          <w:kern w:val="0"/>
          <w:sz w:val="24"/>
          <w:szCs w:val="24"/>
          <w:lang w:val="en-US" w:eastAsia="zh-CN"/>
        </w:rPr>
        <w:t>（三）职务职称特征</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此次调研对象的类别（职务）分布如下，专职教师197人，占比59.8%；行政科员56人，占比17%；中层干部38人，占比11.5%；校级领导1人，占比0.3%；其他（后勤管理等）37人，占比11.25%。专职教师占大多数，中层干部及以下人员占绝大多数的类别特征符合本次调研的目的。</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表6 类别（职务）结构分布</w:t>
      </w:r>
    </w:p>
    <w:tbl>
      <w:tblPr>
        <w:tblStyle w:val="14"/>
        <w:tblW w:w="9040" w:type="dxa"/>
        <w:tblInd w:w="0" w:type="dxa"/>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
      <w:tblGrid>
        <w:gridCol w:w="2750"/>
        <w:gridCol w:w="1312"/>
        <w:gridCol w:w="4978"/>
      </w:tblGrid>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308" w:hRule="atLeast"/>
        </w:trPr>
        <w:tc>
          <w:tcPr>
            <w:tcW w:w="2750" w:type="dxa"/>
            <w:shd w:val="clear" w:color="auto" w:fill="E0E0E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类别（职务）</w:t>
            </w:r>
          </w:p>
        </w:tc>
        <w:tc>
          <w:tcPr>
            <w:tcW w:w="1312" w:type="dxa"/>
            <w:shd w:val="clear" w:color="auto" w:fill="E0E0E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小计</w:t>
            </w:r>
          </w:p>
        </w:tc>
        <w:tc>
          <w:tcPr>
            <w:tcW w:w="4978" w:type="dxa"/>
            <w:shd w:val="clear" w:color="auto" w:fill="E0E0E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比例</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383" w:hRule="atLeast"/>
        </w:trPr>
        <w:tc>
          <w:tcPr>
            <w:tcW w:w="2750"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专职教师</w:t>
            </w:r>
          </w:p>
        </w:tc>
        <w:tc>
          <w:tcPr>
            <w:tcW w:w="1312"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197</w:t>
            </w:r>
          </w:p>
        </w:tc>
        <w:tc>
          <w:tcPr>
            <w:tcW w:w="4978"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drawing>
                <wp:inline distT="0" distB="0" distL="114300" distR="114300">
                  <wp:extent cx="847725" cy="123825"/>
                  <wp:effectExtent l="0" t="0" r="9525" b="952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pic:cNvPicPr>
                        </pic:nvPicPr>
                        <pic:blipFill>
                          <a:blip r:embed="rId42"/>
                          <a:stretch>
                            <a:fillRect/>
                          </a:stretch>
                        </pic:blipFill>
                        <pic:spPr>
                          <a:xfrm>
                            <a:off x="0" y="0"/>
                            <a:ext cx="847725"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drawing>
                <wp:inline distT="0" distB="0" distL="114300" distR="114300">
                  <wp:extent cx="571500" cy="123825"/>
                  <wp:effectExtent l="0" t="0" r="0" b="9525"/>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pic:cNvPicPr>
                        </pic:nvPicPr>
                        <pic:blipFill>
                          <a:blip r:embed="rId43"/>
                          <a:stretch>
                            <a:fillRect/>
                          </a:stretch>
                        </pic:blipFill>
                        <pic:spPr>
                          <a:xfrm>
                            <a:off x="0" y="0"/>
                            <a:ext cx="571500"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t>59.88%</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383" w:hRule="atLeast"/>
        </w:trPr>
        <w:tc>
          <w:tcPr>
            <w:tcW w:w="2750" w:type="dxa"/>
            <w:shd w:val="clear" w:color="auto" w:fill="F9F9F9"/>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行政科员</w:t>
            </w:r>
          </w:p>
        </w:tc>
        <w:tc>
          <w:tcPr>
            <w:tcW w:w="1312" w:type="dxa"/>
            <w:shd w:val="clear" w:color="auto" w:fill="F9F9F9"/>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56</w:t>
            </w:r>
          </w:p>
        </w:tc>
        <w:tc>
          <w:tcPr>
            <w:tcW w:w="4978" w:type="dxa"/>
            <w:shd w:val="clear" w:color="auto" w:fill="F9F9F9"/>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drawing>
                <wp:inline distT="0" distB="0" distL="114300" distR="114300">
                  <wp:extent cx="238125" cy="123825"/>
                  <wp:effectExtent l="0" t="0" r="9525" b="9525"/>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pic:cNvPicPr>
                        </pic:nvPicPr>
                        <pic:blipFill>
                          <a:blip r:embed="rId44"/>
                          <a:stretch>
                            <a:fillRect/>
                          </a:stretch>
                        </pic:blipFill>
                        <pic:spPr>
                          <a:xfrm>
                            <a:off x="0" y="0"/>
                            <a:ext cx="238125"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drawing>
                <wp:inline distT="0" distB="0" distL="114300" distR="114300">
                  <wp:extent cx="1181100" cy="123825"/>
                  <wp:effectExtent l="0" t="0" r="0" b="952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pic:cNvPicPr>
                        </pic:nvPicPr>
                        <pic:blipFill>
                          <a:blip r:embed="rId45"/>
                          <a:stretch>
                            <a:fillRect/>
                          </a:stretch>
                        </pic:blipFill>
                        <pic:spPr>
                          <a:xfrm>
                            <a:off x="0" y="0"/>
                            <a:ext cx="1181100"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t>17.02%</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383" w:hRule="atLeast"/>
        </w:trPr>
        <w:tc>
          <w:tcPr>
            <w:tcW w:w="2750"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中层干部</w:t>
            </w:r>
          </w:p>
        </w:tc>
        <w:tc>
          <w:tcPr>
            <w:tcW w:w="1312"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38</w:t>
            </w:r>
          </w:p>
        </w:tc>
        <w:tc>
          <w:tcPr>
            <w:tcW w:w="4978"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drawing>
                <wp:inline distT="0" distB="0" distL="114300" distR="114300">
                  <wp:extent cx="161925" cy="123825"/>
                  <wp:effectExtent l="0" t="0" r="9525" b="952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pic:cNvPicPr>
                        </pic:nvPicPr>
                        <pic:blipFill>
                          <a:blip r:embed="rId46"/>
                          <a:stretch>
                            <a:fillRect/>
                          </a:stretch>
                        </pic:blipFill>
                        <pic:spPr>
                          <a:xfrm>
                            <a:off x="0" y="0"/>
                            <a:ext cx="161925"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drawing>
                <wp:inline distT="0" distB="0" distL="114300" distR="114300">
                  <wp:extent cx="1257300" cy="123825"/>
                  <wp:effectExtent l="0" t="0" r="0" b="952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pic:cNvPicPr>
                        </pic:nvPicPr>
                        <pic:blipFill>
                          <a:blip r:embed="rId47"/>
                          <a:stretch>
                            <a:fillRect/>
                          </a:stretch>
                        </pic:blipFill>
                        <pic:spPr>
                          <a:xfrm>
                            <a:off x="0" y="0"/>
                            <a:ext cx="1257300"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t>11.55%</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308" w:hRule="atLeast"/>
        </w:trPr>
        <w:tc>
          <w:tcPr>
            <w:tcW w:w="2750" w:type="dxa"/>
            <w:shd w:val="clear" w:color="auto" w:fill="F9F9F9"/>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校级领导</w:t>
            </w:r>
          </w:p>
        </w:tc>
        <w:tc>
          <w:tcPr>
            <w:tcW w:w="1312" w:type="dxa"/>
            <w:shd w:val="clear" w:color="auto" w:fill="F9F9F9"/>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1</w:t>
            </w:r>
          </w:p>
        </w:tc>
        <w:tc>
          <w:tcPr>
            <w:tcW w:w="4978" w:type="dxa"/>
            <w:shd w:val="clear" w:color="auto" w:fill="F9F9F9"/>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drawing>
                <wp:inline distT="0" distB="0" distL="114300" distR="114300">
                  <wp:extent cx="1419225" cy="123825"/>
                  <wp:effectExtent l="0" t="0" r="9525" b="9525"/>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pic:cNvPicPr>
                        </pic:nvPicPr>
                        <pic:blipFill>
                          <a:blip r:embed="rId39"/>
                          <a:stretch>
                            <a:fillRect/>
                          </a:stretch>
                        </pic:blipFill>
                        <pic:spPr>
                          <a:xfrm>
                            <a:off x="0" y="0"/>
                            <a:ext cx="1419225"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t>0.3%</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383" w:hRule="atLeast"/>
        </w:trPr>
        <w:tc>
          <w:tcPr>
            <w:tcW w:w="2750"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其他(后勤管理等)</w:t>
            </w:r>
          </w:p>
        </w:tc>
        <w:tc>
          <w:tcPr>
            <w:tcW w:w="1312"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37</w:t>
            </w:r>
          </w:p>
        </w:tc>
        <w:tc>
          <w:tcPr>
            <w:tcW w:w="4978"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drawing>
                <wp:inline distT="0" distB="0" distL="114300" distR="114300">
                  <wp:extent cx="152400" cy="123825"/>
                  <wp:effectExtent l="0" t="0" r="0" b="9525"/>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pic:cNvPicPr>
                        </pic:nvPicPr>
                        <pic:blipFill>
                          <a:blip r:embed="rId48"/>
                          <a:stretch>
                            <a:fillRect/>
                          </a:stretch>
                        </pic:blipFill>
                        <pic:spPr>
                          <a:xfrm>
                            <a:off x="0" y="0"/>
                            <a:ext cx="152400"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drawing>
                <wp:inline distT="0" distB="0" distL="114300" distR="114300">
                  <wp:extent cx="1266825" cy="123825"/>
                  <wp:effectExtent l="0" t="0" r="9525" b="9525"/>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pic:cNvPicPr>
                        </pic:nvPicPr>
                        <pic:blipFill>
                          <a:blip r:embed="rId49"/>
                          <a:stretch>
                            <a:fillRect/>
                          </a:stretch>
                        </pic:blipFill>
                        <pic:spPr>
                          <a:xfrm>
                            <a:off x="0" y="0"/>
                            <a:ext cx="1266825"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t>11.25%</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314" w:hRule="atLeast"/>
        </w:trPr>
        <w:tc>
          <w:tcPr>
            <w:tcW w:w="2750" w:type="dxa"/>
            <w:shd w:val="clear" w:color="auto" w:fill="E0E0E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总计</w:t>
            </w:r>
          </w:p>
        </w:tc>
        <w:tc>
          <w:tcPr>
            <w:tcW w:w="1312" w:type="dxa"/>
            <w:shd w:val="clear" w:color="auto" w:fill="E0E0E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329</w:t>
            </w:r>
          </w:p>
        </w:tc>
        <w:tc>
          <w:tcPr>
            <w:tcW w:w="4978" w:type="dxa"/>
            <w:shd w:val="clear" w:color="auto" w:fill="E0E0E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从职称分布上看，初级职称76人，占比23.1%；中级职称151人，占比45.9%；高级职称41人，占比12.4%；副高24人，占比7.29%；正高5人，占比1.52%；其他32人，占比9.73%。从职称分布来看，属于偏正态分布，以中级职称及以下为主，这种分布与年龄、教龄结构也有很大的相关性。</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表7 职称结构分布</w:t>
      </w:r>
    </w:p>
    <w:tbl>
      <w:tblPr>
        <w:tblStyle w:val="14"/>
        <w:tblW w:w="9620" w:type="dxa"/>
        <w:tblInd w:w="0" w:type="dxa"/>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
      <w:tblGrid>
        <w:gridCol w:w="3443"/>
        <w:gridCol w:w="1266"/>
        <w:gridCol w:w="4911"/>
      </w:tblGrid>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316" w:hRule="atLeast"/>
        </w:trPr>
        <w:tc>
          <w:tcPr>
            <w:tcW w:w="3443" w:type="dxa"/>
            <w:shd w:val="clear" w:color="auto" w:fill="E0E0E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职称</w:t>
            </w:r>
          </w:p>
        </w:tc>
        <w:tc>
          <w:tcPr>
            <w:tcW w:w="1266" w:type="dxa"/>
            <w:shd w:val="clear" w:color="auto" w:fill="E0E0E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小计</w:t>
            </w:r>
          </w:p>
        </w:tc>
        <w:tc>
          <w:tcPr>
            <w:tcW w:w="4911" w:type="dxa"/>
            <w:shd w:val="clear" w:color="auto" w:fill="E0E0E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比例</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390" w:hRule="atLeast"/>
        </w:trPr>
        <w:tc>
          <w:tcPr>
            <w:tcW w:w="3443"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初级</w:t>
            </w:r>
          </w:p>
        </w:tc>
        <w:tc>
          <w:tcPr>
            <w:tcW w:w="1266"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76</w:t>
            </w:r>
          </w:p>
        </w:tc>
        <w:tc>
          <w:tcPr>
            <w:tcW w:w="4911"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drawing>
                <wp:inline distT="0" distB="0" distL="114300" distR="114300">
                  <wp:extent cx="323850" cy="123825"/>
                  <wp:effectExtent l="0" t="0" r="0" b="9525"/>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pic:cNvPicPr>
                        </pic:nvPicPr>
                        <pic:blipFill>
                          <a:blip r:embed="rId50"/>
                          <a:stretch>
                            <a:fillRect/>
                          </a:stretch>
                        </pic:blipFill>
                        <pic:spPr>
                          <a:xfrm>
                            <a:off x="0" y="0"/>
                            <a:ext cx="323850"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drawing>
                <wp:inline distT="0" distB="0" distL="114300" distR="114300">
                  <wp:extent cx="1095375" cy="123825"/>
                  <wp:effectExtent l="0" t="0" r="9525" b="9525"/>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pic:cNvPicPr>
                        </pic:nvPicPr>
                        <pic:blipFill>
                          <a:blip r:embed="rId51"/>
                          <a:stretch>
                            <a:fillRect/>
                          </a:stretch>
                        </pic:blipFill>
                        <pic:spPr>
                          <a:xfrm>
                            <a:off x="0" y="0"/>
                            <a:ext cx="1095375"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t>23.1%</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390" w:hRule="atLeast"/>
        </w:trPr>
        <w:tc>
          <w:tcPr>
            <w:tcW w:w="3443" w:type="dxa"/>
            <w:shd w:val="clear" w:color="auto" w:fill="F9F9F9"/>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中级</w:t>
            </w:r>
          </w:p>
        </w:tc>
        <w:tc>
          <w:tcPr>
            <w:tcW w:w="1266" w:type="dxa"/>
            <w:shd w:val="clear" w:color="auto" w:fill="F9F9F9"/>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151</w:t>
            </w:r>
          </w:p>
        </w:tc>
        <w:tc>
          <w:tcPr>
            <w:tcW w:w="4911" w:type="dxa"/>
            <w:shd w:val="clear" w:color="auto" w:fill="F9F9F9"/>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drawing>
                <wp:inline distT="0" distB="0" distL="114300" distR="114300">
                  <wp:extent cx="647700" cy="123825"/>
                  <wp:effectExtent l="0" t="0" r="0" b="9525"/>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pic:cNvPicPr>
                        </pic:nvPicPr>
                        <pic:blipFill>
                          <a:blip r:embed="rId52"/>
                          <a:stretch>
                            <a:fillRect/>
                          </a:stretch>
                        </pic:blipFill>
                        <pic:spPr>
                          <a:xfrm>
                            <a:off x="0" y="0"/>
                            <a:ext cx="647700"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drawing>
                <wp:inline distT="0" distB="0" distL="114300" distR="114300">
                  <wp:extent cx="771525" cy="123825"/>
                  <wp:effectExtent l="0" t="0" r="9525" b="9525"/>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pic:cNvPicPr>
                            <a:picLocks noChangeAspect="1"/>
                          </pic:cNvPicPr>
                        </pic:nvPicPr>
                        <pic:blipFill>
                          <a:blip r:embed="rId53"/>
                          <a:stretch>
                            <a:fillRect/>
                          </a:stretch>
                        </pic:blipFill>
                        <pic:spPr>
                          <a:xfrm>
                            <a:off x="0" y="0"/>
                            <a:ext cx="771525"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t>45.9%</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390" w:hRule="atLeast"/>
        </w:trPr>
        <w:tc>
          <w:tcPr>
            <w:tcW w:w="3443"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高级</w:t>
            </w:r>
          </w:p>
        </w:tc>
        <w:tc>
          <w:tcPr>
            <w:tcW w:w="1266"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41</w:t>
            </w:r>
          </w:p>
        </w:tc>
        <w:tc>
          <w:tcPr>
            <w:tcW w:w="4911"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drawing>
                <wp:inline distT="0" distB="0" distL="114300" distR="114300">
                  <wp:extent cx="171450" cy="123825"/>
                  <wp:effectExtent l="0" t="0" r="0" b="9525"/>
                  <wp:docPr id="69"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51"/>
                          <pic:cNvPicPr>
                            <a:picLocks noChangeAspect="1"/>
                          </pic:cNvPicPr>
                        </pic:nvPicPr>
                        <pic:blipFill>
                          <a:blip r:embed="rId54"/>
                          <a:stretch>
                            <a:fillRect/>
                          </a:stretch>
                        </pic:blipFill>
                        <pic:spPr>
                          <a:xfrm>
                            <a:off x="0" y="0"/>
                            <a:ext cx="171450"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drawing>
                <wp:inline distT="0" distB="0" distL="114300" distR="114300">
                  <wp:extent cx="1247775" cy="123825"/>
                  <wp:effectExtent l="0" t="0" r="9525" b="9525"/>
                  <wp:docPr id="70"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52"/>
                          <pic:cNvPicPr>
                            <a:picLocks noChangeAspect="1"/>
                          </pic:cNvPicPr>
                        </pic:nvPicPr>
                        <pic:blipFill>
                          <a:blip r:embed="rId55"/>
                          <a:stretch>
                            <a:fillRect/>
                          </a:stretch>
                        </pic:blipFill>
                        <pic:spPr>
                          <a:xfrm>
                            <a:off x="0" y="0"/>
                            <a:ext cx="1247775"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t>12.46%</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390" w:hRule="atLeast"/>
        </w:trPr>
        <w:tc>
          <w:tcPr>
            <w:tcW w:w="3443" w:type="dxa"/>
            <w:shd w:val="clear" w:color="auto" w:fill="F9F9F9"/>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副高</w:t>
            </w:r>
          </w:p>
        </w:tc>
        <w:tc>
          <w:tcPr>
            <w:tcW w:w="1266" w:type="dxa"/>
            <w:shd w:val="clear" w:color="auto" w:fill="F9F9F9"/>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24</w:t>
            </w:r>
          </w:p>
        </w:tc>
        <w:tc>
          <w:tcPr>
            <w:tcW w:w="4911" w:type="dxa"/>
            <w:shd w:val="clear" w:color="auto" w:fill="F9F9F9"/>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drawing>
                <wp:inline distT="0" distB="0" distL="114300" distR="114300">
                  <wp:extent cx="95250" cy="123825"/>
                  <wp:effectExtent l="0" t="0" r="0" b="9525"/>
                  <wp:docPr id="71"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53"/>
                          <pic:cNvPicPr>
                            <a:picLocks noChangeAspect="1"/>
                          </pic:cNvPicPr>
                        </pic:nvPicPr>
                        <pic:blipFill>
                          <a:blip r:embed="rId56"/>
                          <a:stretch>
                            <a:fillRect/>
                          </a:stretch>
                        </pic:blipFill>
                        <pic:spPr>
                          <a:xfrm>
                            <a:off x="0" y="0"/>
                            <a:ext cx="95250"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drawing>
                <wp:inline distT="0" distB="0" distL="114300" distR="114300">
                  <wp:extent cx="1323975" cy="123825"/>
                  <wp:effectExtent l="0" t="0" r="9525" b="9525"/>
                  <wp:docPr id="72"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54"/>
                          <pic:cNvPicPr>
                            <a:picLocks noChangeAspect="1"/>
                          </pic:cNvPicPr>
                        </pic:nvPicPr>
                        <pic:blipFill>
                          <a:blip r:embed="rId57"/>
                          <a:stretch>
                            <a:fillRect/>
                          </a:stretch>
                        </pic:blipFill>
                        <pic:spPr>
                          <a:xfrm>
                            <a:off x="0" y="0"/>
                            <a:ext cx="1323975"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t>7.29%</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390" w:hRule="atLeast"/>
        </w:trPr>
        <w:tc>
          <w:tcPr>
            <w:tcW w:w="3443"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正高</w:t>
            </w:r>
          </w:p>
        </w:tc>
        <w:tc>
          <w:tcPr>
            <w:tcW w:w="1266"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5</w:t>
            </w:r>
          </w:p>
        </w:tc>
        <w:tc>
          <w:tcPr>
            <w:tcW w:w="4911"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drawing>
                <wp:inline distT="0" distB="0" distL="114300" distR="114300">
                  <wp:extent cx="19050" cy="123825"/>
                  <wp:effectExtent l="0" t="0" r="0" b="9525"/>
                  <wp:docPr id="73"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55"/>
                          <pic:cNvPicPr>
                            <a:picLocks noChangeAspect="1"/>
                          </pic:cNvPicPr>
                        </pic:nvPicPr>
                        <pic:blipFill>
                          <a:blip r:embed="rId40"/>
                          <a:stretch>
                            <a:fillRect/>
                          </a:stretch>
                        </pic:blipFill>
                        <pic:spPr>
                          <a:xfrm>
                            <a:off x="0" y="0"/>
                            <a:ext cx="19050"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drawing>
                <wp:inline distT="0" distB="0" distL="114300" distR="114300">
                  <wp:extent cx="1400175" cy="123825"/>
                  <wp:effectExtent l="0" t="0" r="9525" b="9525"/>
                  <wp:docPr id="74"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56"/>
                          <pic:cNvPicPr>
                            <a:picLocks noChangeAspect="1"/>
                          </pic:cNvPicPr>
                        </pic:nvPicPr>
                        <pic:blipFill>
                          <a:blip r:embed="rId41"/>
                          <a:stretch>
                            <a:fillRect/>
                          </a:stretch>
                        </pic:blipFill>
                        <pic:spPr>
                          <a:xfrm>
                            <a:off x="0" y="0"/>
                            <a:ext cx="1400175"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t>1.52%</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390" w:hRule="atLeast"/>
        </w:trPr>
        <w:tc>
          <w:tcPr>
            <w:tcW w:w="3443" w:type="dxa"/>
            <w:shd w:val="clear" w:color="auto" w:fill="F9F9F9"/>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无/不清楚</w:t>
            </w:r>
          </w:p>
        </w:tc>
        <w:tc>
          <w:tcPr>
            <w:tcW w:w="1266" w:type="dxa"/>
            <w:shd w:val="clear" w:color="auto" w:fill="F9F9F9"/>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32</w:t>
            </w:r>
          </w:p>
        </w:tc>
        <w:tc>
          <w:tcPr>
            <w:tcW w:w="4911" w:type="dxa"/>
            <w:shd w:val="clear" w:color="auto" w:fill="F9F9F9"/>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drawing>
                <wp:inline distT="0" distB="0" distL="114300" distR="114300">
                  <wp:extent cx="133350" cy="123825"/>
                  <wp:effectExtent l="0" t="0" r="0" b="9525"/>
                  <wp:docPr id="75"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57"/>
                          <pic:cNvPicPr>
                            <a:picLocks noChangeAspect="1"/>
                          </pic:cNvPicPr>
                        </pic:nvPicPr>
                        <pic:blipFill>
                          <a:blip r:embed="rId58"/>
                          <a:stretch>
                            <a:fillRect/>
                          </a:stretch>
                        </pic:blipFill>
                        <pic:spPr>
                          <a:xfrm>
                            <a:off x="0" y="0"/>
                            <a:ext cx="133350"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drawing>
                <wp:inline distT="0" distB="0" distL="114300" distR="114300">
                  <wp:extent cx="1285875" cy="123825"/>
                  <wp:effectExtent l="0" t="0" r="9525" b="9525"/>
                  <wp:docPr id="76"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58"/>
                          <pic:cNvPicPr>
                            <a:picLocks noChangeAspect="1"/>
                          </pic:cNvPicPr>
                        </pic:nvPicPr>
                        <pic:blipFill>
                          <a:blip r:embed="rId59"/>
                          <a:stretch>
                            <a:fillRect/>
                          </a:stretch>
                        </pic:blipFill>
                        <pic:spPr>
                          <a:xfrm>
                            <a:off x="0" y="0"/>
                            <a:ext cx="1285875"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t>9.73%</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335" w:hRule="atLeast"/>
        </w:trPr>
        <w:tc>
          <w:tcPr>
            <w:tcW w:w="3443" w:type="dxa"/>
            <w:shd w:val="clear" w:color="auto" w:fill="E0E0E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总计</w:t>
            </w:r>
          </w:p>
        </w:tc>
        <w:tc>
          <w:tcPr>
            <w:tcW w:w="1266" w:type="dxa"/>
            <w:shd w:val="clear" w:color="auto" w:fill="E0E0E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329</w:t>
            </w:r>
          </w:p>
        </w:tc>
        <w:tc>
          <w:tcPr>
            <w:tcW w:w="4911" w:type="dxa"/>
            <w:shd w:val="clear" w:color="auto" w:fill="E0E0E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总之，可以看出本次调研对象的职务职称均属于职业院校中低层次，这一状态较能反映职业院校教职工的真实状况和诉求。</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bCs/>
          <w:kern w:val="0"/>
          <w:sz w:val="24"/>
          <w:szCs w:val="24"/>
          <w:lang w:val="en-US" w:eastAsia="zh-CN"/>
        </w:rPr>
      </w:pPr>
      <w:r>
        <w:rPr>
          <w:rFonts w:hint="eastAsia" w:ascii="宋体" w:hAnsi="宋体" w:cs="宋体"/>
          <w:b/>
          <w:bCs/>
          <w:kern w:val="0"/>
          <w:sz w:val="24"/>
          <w:szCs w:val="24"/>
          <w:lang w:val="en-US" w:eastAsia="zh-CN"/>
        </w:rPr>
        <w:t>三、调查结果分类统计与分析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 xml:space="preserve">    本文从我市职业院校教职工的生理（身体健康）需求、安全需求、情感需求、尊重需求和自我实现需求等几个方面分析教职工状况和诉求。</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bCs/>
          <w:kern w:val="0"/>
          <w:sz w:val="24"/>
          <w:szCs w:val="24"/>
          <w:lang w:val="en-US" w:eastAsia="zh-CN"/>
        </w:rPr>
      </w:pPr>
      <w:r>
        <w:rPr>
          <w:rFonts w:hint="eastAsia" w:ascii="宋体" w:hAnsi="宋体" w:cs="宋体"/>
          <w:b/>
          <w:bCs/>
          <w:kern w:val="0"/>
          <w:sz w:val="24"/>
          <w:szCs w:val="24"/>
          <w:lang w:val="en-US" w:eastAsia="zh-CN"/>
        </w:rPr>
        <w:t>（一）关于生理（身体健康）需求状况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本研究首先考察我市职业院校教职工最为重要的生理需求，即主要是身体健康状况。当问及职业院校教职工对个人身体健康满意程度时，329名受访者的回答如下。不满意的有128人，占38.91%；184人为基本满意，占比55.9%；很满意的有17人，占比为5.17%。从这个数据上来，我市职业院校教职工状况是令人担忧的，年轻群体中有近四成教职工对身体健康程度不满意，大多数为基本满意，很满意的比例仅为5.17%。</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drawing>
          <wp:inline distT="0" distB="0" distL="114300" distR="114300">
            <wp:extent cx="5335905" cy="1868170"/>
            <wp:effectExtent l="0" t="0" r="17145" b="17780"/>
            <wp:docPr id="77"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59"/>
                    <pic:cNvPicPr>
                      <a:picLocks noChangeAspect="1"/>
                    </pic:cNvPicPr>
                  </pic:nvPicPr>
                  <pic:blipFill>
                    <a:blip r:embed="rId60"/>
                    <a:stretch>
                      <a:fillRect/>
                    </a:stretch>
                  </pic:blipFill>
                  <pic:spPr>
                    <a:xfrm>
                      <a:off x="0" y="0"/>
                      <a:ext cx="5335905" cy="1868170"/>
                    </a:xfrm>
                    <a:prstGeom prst="rect">
                      <a:avLst/>
                    </a:prstGeom>
                    <a:noFill/>
                    <a:ln w="9525">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图1  教职工身体满意度</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与教职工健康状况直接相关的定期身体检查情况的满意度数据显示，不满意的有29人，占比8.81%；249人为基本满意，占比75.68%；很满意的有51人，占比为15.5%。但不满意中有个别学校教师（主要是民办高职院校）反映，学校定期组织的身体检查周期为3年，希望每年组织1次。从这个角度上，反映出我市部分民办高职院校对于提升教职工身体健康保障方面还有很多工作要做。</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drawing>
          <wp:inline distT="0" distB="0" distL="114300" distR="114300">
            <wp:extent cx="6006465" cy="2111375"/>
            <wp:effectExtent l="0" t="0" r="13335" b="3175"/>
            <wp:docPr id="78"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60"/>
                    <pic:cNvPicPr>
                      <a:picLocks noChangeAspect="1"/>
                    </pic:cNvPicPr>
                  </pic:nvPicPr>
                  <pic:blipFill>
                    <a:blip r:embed="rId61"/>
                    <a:stretch>
                      <a:fillRect/>
                    </a:stretch>
                  </pic:blipFill>
                  <pic:spPr>
                    <a:xfrm>
                      <a:off x="0" y="0"/>
                      <a:ext cx="6006465" cy="2111375"/>
                    </a:xfrm>
                    <a:prstGeom prst="rect">
                      <a:avLst/>
                    </a:prstGeom>
                    <a:noFill/>
                    <a:ln w="9525">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图2 教职工身体检查项目满意度</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当问及职业院校教职工在学校期间是否有时间参加体育锻炼时，268人回答没有时间，占比81.46%；61人回答有时间，占比仅为18.54%。这也从侧面反映出职业院校教职工的工作状态，上班期间基本无闲暇时间。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1"/>
          <w:szCs w:val="21"/>
          <w:lang w:val="en-US" w:eastAsia="zh-CN"/>
        </w:rPr>
        <w:t>表8 参加体育锻炼时间</w:t>
      </w:r>
    </w:p>
    <w:tbl>
      <w:tblPr>
        <w:tblStyle w:val="14"/>
        <w:tblW w:w="8400" w:type="dxa"/>
        <w:tblInd w:w="0" w:type="dxa"/>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
      <w:tblGrid>
        <w:gridCol w:w="2774"/>
        <w:gridCol w:w="1249"/>
        <w:gridCol w:w="4377"/>
      </w:tblGrid>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325" w:hRule="atLeast"/>
        </w:trPr>
        <w:tc>
          <w:tcPr>
            <w:tcW w:w="2774" w:type="dxa"/>
            <w:shd w:val="clear" w:color="auto" w:fill="E0E0E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参加体育锻炼时间</w:t>
            </w:r>
          </w:p>
        </w:tc>
        <w:tc>
          <w:tcPr>
            <w:tcW w:w="1249" w:type="dxa"/>
            <w:shd w:val="clear" w:color="auto" w:fill="E0E0E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小计</w:t>
            </w:r>
          </w:p>
        </w:tc>
        <w:tc>
          <w:tcPr>
            <w:tcW w:w="4377" w:type="dxa"/>
            <w:shd w:val="clear" w:color="auto" w:fill="E0E0E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比例</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325" w:hRule="atLeast"/>
        </w:trPr>
        <w:tc>
          <w:tcPr>
            <w:tcW w:w="2774"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有时间</w:t>
            </w:r>
          </w:p>
        </w:tc>
        <w:tc>
          <w:tcPr>
            <w:tcW w:w="1249"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61</w:t>
            </w:r>
          </w:p>
        </w:tc>
        <w:tc>
          <w:tcPr>
            <w:tcW w:w="4377"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drawing>
                <wp:inline distT="0" distB="0" distL="114300" distR="114300">
                  <wp:extent cx="257175" cy="123825"/>
                  <wp:effectExtent l="0" t="0" r="9525" b="9525"/>
                  <wp:docPr id="79"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61"/>
                          <pic:cNvPicPr>
                            <a:picLocks noChangeAspect="1"/>
                          </pic:cNvPicPr>
                        </pic:nvPicPr>
                        <pic:blipFill>
                          <a:blip r:embed="rId62"/>
                          <a:stretch>
                            <a:fillRect/>
                          </a:stretch>
                        </pic:blipFill>
                        <pic:spPr>
                          <a:xfrm>
                            <a:off x="0" y="0"/>
                            <a:ext cx="257175"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drawing>
                <wp:inline distT="0" distB="0" distL="114300" distR="114300">
                  <wp:extent cx="1162050" cy="123825"/>
                  <wp:effectExtent l="0" t="0" r="0" b="9525"/>
                  <wp:docPr id="80"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62"/>
                          <pic:cNvPicPr>
                            <a:picLocks noChangeAspect="1"/>
                          </pic:cNvPicPr>
                        </pic:nvPicPr>
                        <pic:blipFill>
                          <a:blip r:embed="rId63"/>
                          <a:stretch>
                            <a:fillRect/>
                          </a:stretch>
                        </pic:blipFill>
                        <pic:spPr>
                          <a:xfrm>
                            <a:off x="0" y="0"/>
                            <a:ext cx="1162050"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t>18.54%</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325" w:hRule="atLeast"/>
        </w:trPr>
        <w:tc>
          <w:tcPr>
            <w:tcW w:w="2774" w:type="dxa"/>
            <w:shd w:val="clear" w:color="auto" w:fill="F9F9F9"/>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没有时间</w:t>
            </w:r>
          </w:p>
        </w:tc>
        <w:tc>
          <w:tcPr>
            <w:tcW w:w="1249" w:type="dxa"/>
            <w:shd w:val="clear" w:color="auto" w:fill="F9F9F9"/>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268</w:t>
            </w:r>
          </w:p>
        </w:tc>
        <w:tc>
          <w:tcPr>
            <w:tcW w:w="4377" w:type="dxa"/>
            <w:shd w:val="clear" w:color="auto" w:fill="F9F9F9"/>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drawing>
                <wp:inline distT="0" distB="0" distL="114300" distR="114300">
                  <wp:extent cx="1152525" cy="123825"/>
                  <wp:effectExtent l="0" t="0" r="9525" b="9525"/>
                  <wp:docPr id="81"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63"/>
                          <pic:cNvPicPr>
                            <a:picLocks noChangeAspect="1"/>
                          </pic:cNvPicPr>
                        </pic:nvPicPr>
                        <pic:blipFill>
                          <a:blip r:embed="rId64"/>
                          <a:stretch>
                            <a:fillRect/>
                          </a:stretch>
                        </pic:blipFill>
                        <pic:spPr>
                          <a:xfrm>
                            <a:off x="0" y="0"/>
                            <a:ext cx="1152525"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drawing>
                <wp:inline distT="0" distB="0" distL="114300" distR="114300">
                  <wp:extent cx="266700" cy="123825"/>
                  <wp:effectExtent l="0" t="0" r="0" b="9525"/>
                  <wp:docPr id="82"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64"/>
                          <pic:cNvPicPr>
                            <a:picLocks noChangeAspect="1"/>
                          </pic:cNvPicPr>
                        </pic:nvPicPr>
                        <pic:blipFill>
                          <a:blip r:embed="rId65"/>
                          <a:stretch>
                            <a:fillRect/>
                          </a:stretch>
                        </pic:blipFill>
                        <pic:spPr>
                          <a:xfrm>
                            <a:off x="0" y="0"/>
                            <a:ext cx="266700"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t>81.46%</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344" w:hRule="atLeast"/>
        </w:trPr>
        <w:tc>
          <w:tcPr>
            <w:tcW w:w="2774" w:type="dxa"/>
            <w:shd w:val="clear" w:color="auto" w:fill="E0E0E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总计</w:t>
            </w:r>
          </w:p>
        </w:tc>
        <w:tc>
          <w:tcPr>
            <w:tcW w:w="1249" w:type="dxa"/>
            <w:shd w:val="clear" w:color="auto" w:fill="E0E0E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329</w:t>
            </w:r>
          </w:p>
        </w:tc>
        <w:tc>
          <w:tcPr>
            <w:tcW w:w="4377" w:type="dxa"/>
            <w:shd w:val="clear" w:color="auto" w:fill="E0E0E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当问及职业院校教职工对学校提供的体育锻炼器材是否满意时，不满意109人，占比33.13%；基本满意197人，占比59.88%；很满意的23人，占比6.99%。三成教职工不满意反映我市职业院校为教职工提供的必要的体育锻炼器材数量和质量需要进一步提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1"/>
          <w:szCs w:val="21"/>
          <w:lang w:val="en-US" w:eastAsia="zh-CN"/>
        </w:rPr>
        <w:t>表9 体育锻炼器材满意度</w:t>
      </w:r>
    </w:p>
    <w:tbl>
      <w:tblPr>
        <w:tblStyle w:val="14"/>
        <w:tblW w:w="8480" w:type="dxa"/>
        <w:tblInd w:w="0" w:type="dxa"/>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
      <w:tblGrid>
        <w:gridCol w:w="2740"/>
        <w:gridCol w:w="1321"/>
        <w:gridCol w:w="4419"/>
      </w:tblGrid>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396" w:hRule="atLeast"/>
        </w:trPr>
        <w:tc>
          <w:tcPr>
            <w:tcW w:w="2740" w:type="dxa"/>
            <w:shd w:val="clear" w:color="auto" w:fill="E0E0E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left"/>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体育锻炼器材满意度</w:t>
            </w:r>
          </w:p>
        </w:tc>
        <w:tc>
          <w:tcPr>
            <w:tcW w:w="1321" w:type="dxa"/>
            <w:shd w:val="clear" w:color="auto" w:fill="E0E0E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小计</w:t>
            </w:r>
          </w:p>
        </w:tc>
        <w:tc>
          <w:tcPr>
            <w:tcW w:w="4419" w:type="dxa"/>
            <w:shd w:val="clear" w:color="auto" w:fill="E0E0E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比例</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396" w:hRule="atLeast"/>
        </w:trPr>
        <w:tc>
          <w:tcPr>
            <w:tcW w:w="2740"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不满意</w:t>
            </w:r>
          </w:p>
        </w:tc>
        <w:tc>
          <w:tcPr>
            <w:tcW w:w="1321"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109</w:t>
            </w:r>
          </w:p>
        </w:tc>
        <w:tc>
          <w:tcPr>
            <w:tcW w:w="4419"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drawing>
                <wp:inline distT="0" distB="0" distL="114300" distR="114300">
                  <wp:extent cx="466725" cy="123825"/>
                  <wp:effectExtent l="0" t="0" r="9525" b="9525"/>
                  <wp:docPr id="83"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65"/>
                          <pic:cNvPicPr>
                            <a:picLocks noChangeAspect="1"/>
                          </pic:cNvPicPr>
                        </pic:nvPicPr>
                        <pic:blipFill>
                          <a:blip r:embed="rId66"/>
                          <a:stretch>
                            <a:fillRect/>
                          </a:stretch>
                        </pic:blipFill>
                        <pic:spPr>
                          <a:xfrm>
                            <a:off x="0" y="0"/>
                            <a:ext cx="466725"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drawing>
                <wp:inline distT="0" distB="0" distL="114300" distR="114300">
                  <wp:extent cx="952500" cy="123825"/>
                  <wp:effectExtent l="0" t="0" r="0" b="9525"/>
                  <wp:docPr id="84"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66"/>
                          <pic:cNvPicPr>
                            <a:picLocks noChangeAspect="1"/>
                          </pic:cNvPicPr>
                        </pic:nvPicPr>
                        <pic:blipFill>
                          <a:blip r:embed="rId67"/>
                          <a:stretch>
                            <a:fillRect/>
                          </a:stretch>
                        </pic:blipFill>
                        <pic:spPr>
                          <a:xfrm>
                            <a:off x="0" y="0"/>
                            <a:ext cx="952500"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t>33.13%</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396" w:hRule="atLeast"/>
        </w:trPr>
        <w:tc>
          <w:tcPr>
            <w:tcW w:w="2740" w:type="dxa"/>
            <w:shd w:val="clear" w:color="auto" w:fill="F9F9F9"/>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基本满意</w:t>
            </w:r>
          </w:p>
        </w:tc>
        <w:tc>
          <w:tcPr>
            <w:tcW w:w="1321" w:type="dxa"/>
            <w:shd w:val="clear" w:color="auto" w:fill="F9F9F9"/>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197</w:t>
            </w:r>
          </w:p>
        </w:tc>
        <w:tc>
          <w:tcPr>
            <w:tcW w:w="4419" w:type="dxa"/>
            <w:shd w:val="clear" w:color="auto" w:fill="F9F9F9"/>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drawing>
                <wp:inline distT="0" distB="0" distL="114300" distR="114300">
                  <wp:extent cx="847725" cy="123825"/>
                  <wp:effectExtent l="0" t="0" r="9525" b="9525"/>
                  <wp:docPr id="85"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67"/>
                          <pic:cNvPicPr>
                            <a:picLocks noChangeAspect="1"/>
                          </pic:cNvPicPr>
                        </pic:nvPicPr>
                        <pic:blipFill>
                          <a:blip r:embed="rId42"/>
                          <a:stretch>
                            <a:fillRect/>
                          </a:stretch>
                        </pic:blipFill>
                        <pic:spPr>
                          <a:xfrm>
                            <a:off x="0" y="0"/>
                            <a:ext cx="847725"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drawing>
                <wp:inline distT="0" distB="0" distL="114300" distR="114300">
                  <wp:extent cx="571500" cy="123825"/>
                  <wp:effectExtent l="0" t="0" r="0" b="9525"/>
                  <wp:docPr id="86"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68"/>
                          <pic:cNvPicPr>
                            <a:picLocks noChangeAspect="1"/>
                          </pic:cNvPicPr>
                        </pic:nvPicPr>
                        <pic:blipFill>
                          <a:blip r:embed="rId43"/>
                          <a:stretch>
                            <a:fillRect/>
                          </a:stretch>
                        </pic:blipFill>
                        <pic:spPr>
                          <a:xfrm>
                            <a:off x="0" y="0"/>
                            <a:ext cx="571500"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t>59.88%</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396" w:hRule="atLeast"/>
        </w:trPr>
        <w:tc>
          <w:tcPr>
            <w:tcW w:w="2740"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很满意</w:t>
            </w:r>
          </w:p>
        </w:tc>
        <w:tc>
          <w:tcPr>
            <w:tcW w:w="1321"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23</w:t>
            </w:r>
          </w:p>
        </w:tc>
        <w:tc>
          <w:tcPr>
            <w:tcW w:w="4419"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drawing>
                <wp:inline distT="0" distB="0" distL="114300" distR="114300">
                  <wp:extent cx="95250" cy="123825"/>
                  <wp:effectExtent l="0" t="0" r="0" b="9525"/>
                  <wp:docPr id="51"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69"/>
                          <pic:cNvPicPr>
                            <a:picLocks noChangeAspect="1"/>
                          </pic:cNvPicPr>
                        </pic:nvPicPr>
                        <pic:blipFill>
                          <a:blip r:embed="rId56"/>
                          <a:stretch>
                            <a:fillRect/>
                          </a:stretch>
                        </pic:blipFill>
                        <pic:spPr>
                          <a:xfrm>
                            <a:off x="0" y="0"/>
                            <a:ext cx="95250"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drawing>
                <wp:inline distT="0" distB="0" distL="114300" distR="114300">
                  <wp:extent cx="1323975" cy="123825"/>
                  <wp:effectExtent l="0" t="0" r="9525" b="9525"/>
                  <wp:docPr id="52"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70"/>
                          <pic:cNvPicPr>
                            <a:picLocks noChangeAspect="1"/>
                          </pic:cNvPicPr>
                        </pic:nvPicPr>
                        <pic:blipFill>
                          <a:blip r:embed="rId57"/>
                          <a:stretch>
                            <a:fillRect/>
                          </a:stretch>
                        </pic:blipFill>
                        <pic:spPr>
                          <a:xfrm>
                            <a:off x="0" y="0"/>
                            <a:ext cx="1323975"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t>6.99%</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412" w:hRule="atLeast"/>
        </w:trPr>
        <w:tc>
          <w:tcPr>
            <w:tcW w:w="2740" w:type="dxa"/>
            <w:shd w:val="clear" w:color="auto" w:fill="E0E0E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总计</w:t>
            </w:r>
          </w:p>
        </w:tc>
        <w:tc>
          <w:tcPr>
            <w:tcW w:w="1321" w:type="dxa"/>
            <w:shd w:val="clear" w:color="auto" w:fill="E0E0E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329</w:t>
            </w:r>
          </w:p>
        </w:tc>
        <w:tc>
          <w:tcPr>
            <w:tcW w:w="4419" w:type="dxa"/>
            <w:shd w:val="clear" w:color="auto" w:fill="E0E0E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bCs/>
          <w:kern w:val="0"/>
          <w:sz w:val="24"/>
          <w:szCs w:val="24"/>
          <w:lang w:val="en-US" w:eastAsia="zh-CN"/>
        </w:rPr>
      </w:pPr>
      <w:r>
        <w:rPr>
          <w:rFonts w:hint="eastAsia" w:ascii="宋体" w:hAnsi="宋体" w:cs="宋体"/>
          <w:b/>
          <w:bCs/>
          <w:kern w:val="0"/>
          <w:sz w:val="24"/>
          <w:szCs w:val="24"/>
          <w:lang w:val="en-US" w:eastAsia="zh-CN"/>
        </w:rPr>
        <w:t>（二）关于安全需求状况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关于安全需求状况方面，主要从职业院校教职工的职业生涯发展和工作压力两个方面进行考察。</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1.职业生涯发展规划情况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调查数据显示，329人中244人规划过自己的职业生涯发展，占比74.16%；也有85人没有规划过，占比为25.84%。作为职业院校教职工，四分之一的比例未规划过自己的职业生涯发展，这一数据与“以促进就业为导向”的职业教育定位是不相符的，教职工本身没有职业生涯发展规划意识，会对学生的职业生涯发展产生负面影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drawing>
          <wp:inline distT="0" distB="0" distL="114300" distR="114300">
            <wp:extent cx="5325110" cy="1997075"/>
            <wp:effectExtent l="0" t="0" r="8890" b="3175"/>
            <wp:docPr id="53"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71"/>
                    <pic:cNvPicPr>
                      <a:picLocks noChangeAspect="1"/>
                    </pic:cNvPicPr>
                  </pic:nvPicPr>
                  <pic:blipFill>
                    <a:blip r:embed="rId68"/>
                    <a:stretch>
                      <a:fillRect/>
                    </a:stretch>
                  </pic:blipFill>
                  <pic:spPr>
                    <a:xfrm>
                      <a:off x="0" y="0"/>
                      <a:ext cx="5325110" cy="1997075"/>
                    </a:xfrm>
                    <a:prstGeom prst="rect">
                      <a:avLst/>
                    </a:prstGeom>
                    <a:noFill/>
                    <a:ln w="9525">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图3 教职工职业发展规划情况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当问及被调查者认为自己的职业生涯发展通道是否顺畅时，有54人认为不顺畅，占比16.41%；206人认为一般，占比62.6%；69人认为顺畅，占比20.9%。</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drawing>
          <wp:inline distT="0" distB="0" distL="114300" distR="114300">
            <wp:extent cx="5982335" cy="2242820"/>
            <wp:effectExtent l="0" t="0" r="18415" b="5080"/>
            <wp:docPr id="54"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72"/>
                    <pic:cNvPicPr>
                      <a:picLocks noChangeAspect="1"/>
                    </pic:cNvPicPr>
                  </pic:nvPicPr>
                  <pic:blipFill>
                    <a:blip r:embed="rId69"/>
                    <a:stretch>
                      <a:fillRect/>
                    </a:stretch>
                  </pic:blipFill>
                  <pic:spPr>
                    <a:xfrm>
                      <a:off x="0" y="0"/>
                      <a:ext cx="5982335" cy="2242820"/>
                    </a:xfrm>
                    <a:prstGeom prst="rect">
                      <a:avLst/>
                    </a:prstGeom>
                    <a:noFill/>
                    <a:ln w="9525">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图4 教职工职业发展通道认可情况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2.工作压力</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调查数据显示，329人中69人压力很大，占比20.97%；164人压力较大，占比49.85%；85人压力一般，占比25.84%；仅有11人认为压力不大，占比3.34%。从这个数据可以看出，我市职业院校教职工的工作压力状况是很不乐观的，绝大多数教职工处于强大的压力状况之下。</w:t>
      </w:r>
      <w:r>
        <w:rPr>
          <w:rFonts w:hint="eastAsia" w:ascii="宋体" w:hAnsi="宋体" w:cs="宋体"/>
          <w:b w:val="0"/>
          <w:bCs w:val="0"/>
          <w:kern w:val="0"/>
          <w:sz w:val="24"/>
          <w:szCs w:val="24"/>
          <w:lang w:val="en-US" w:eastAsia="zh-CN"/>
        </w:rPr>
        <w:drawing>
          <wp:inline distT="0" distB="0" distL="114300" distR="114300">
            <wp:extent cx="5420360" cy="2032635"/>
            <wp:effectExtent l="0" t="0" r="8890" b="5715"/>
            <wp:docPr id="55"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73"/>
                    <pic:cNvPicPr>
                      <a:picLocks noChangeAspect="1"/>
                    </pic:cNvPicPr>
                  </pic:nvPicPr>
                  <pic:blipFill>
                    <a:blip r:embed="rId70"/>
                    <a:stretch>
                      <a:fillRect/>
                    </a:stretch>
                  </pic:blipFill>
                  <pic:spPr>
                    <a:xfrm>
                      <a:off x="0" y="0"/>
                      <a:ext cx="5420360" cy="2032635"/>
                    </a:xfrm>
                    <a:prstGeom prst="rect">
                      <a:avLst/>
                    </a:prstGeom>
                    <a:noFill/>
                    <a:ln w="9525">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图5 教职工压力情况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而工作时间是表征工作压力大小的重要指标之一，我市职业院校教职工平均每天工作时长如下，0.3%的受访者小于4小时；7.29%的受访者5-6小时；46.5%的受访者7-8小时；36.17%的受访者9-12小时；还有9.73%的受访者平均每天工作超过12小时。这些数据可清楚地表明我市职业院校教职工工作压力大的程度。</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drawing>
          <wp:inline distT="0" distB="0" distL="114300" distR="114300">
            <wp:extent cx="4765040" cy="1786890"/>
            <wp:effectExtent l="0" t="0" r="16510" b="3810"/>
            <wp:docPr id="56"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74"/>
                    <pic:cNvPicPr>
                      <a:picLocks noChangeAspect="1"/>
                    </pic:cNvPicPr>
                  </pic:nvPicPr>
                  <pic:blipFill>
                    <a:blip r:embed="rId71"/>
                    <a:stretch>
                      <a:fillRect/>
                    </a:stretch>
                  </pic:blipFill>
                  <pic:spPr>
                    <a:xfrm>
                      <a:off x="0" y="0"/>
                      <a:ext cx="4765040" cy="1786890"/>
                    </a:xfrm>
                    <a:prstGeom prst="rect">
                      <a:avLst/>
                    </a:prstGeom>
                    <a:noFill/>
                    <a:ln w="9525">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图6 教职工平均每天工作时间分布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left"/>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让教职工选择压力主要来自哪些方面，可以多选。有76人次选择授课课时压力，111人次选择科研上的压力，153人次选择学生管理上的压力，27人次选择人际关系上的压力，108人次选择职业发展渠道，166人次选择薪酬待遇，133人次选择职称评定，54人次选择各类比赛。25人次选择其他压力。可以看出教职工感觉压力排名前三的分别是薪酬待遇、职称评定和科研。而职称评定与科研也有密切的关系。</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1"/>
          <w:szCs w:val="21"/>
          <w:lang w:val="en-US" w:eastAsia="zh-CN"/>
        </w:rPr>
        <w:t>表10 压力来源</w:t>
      </w:r>
      <w:r>
        <w:rPr>
          <w:rFonts w:hint="eastAsia" w:ascii="宋体" w:hAnsi="宋体" w:cs="宋体"/>
          <w:b w:val="0"/>
          <w:bCs w:val="0"/>
          <w:kern w:val="0"/>
          <w:sz w:val="24"/>
          <w:szCs w:val="24"/>
          <w:lang w:val="en-US" w:eastAsia="zh-CN"/>
        </w:rPr>
        <w:t xml:space="preserve"> </w:t>
      </w:r>
    </w:p>
    <w:tbl>
      <w:tblPr>
        <w:tblStyle w:val="14"/>
        <w:tblW w:w="7820" w:type="dxa"/>
        <w:jc w:val="center"/>
        <w:tblInd w:w="0" w:type="dxa"/>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
      <w:tblGrid>
        <w:gridCol w:w="4536"/>
        <w:gridCol w:w="3284"/>
      </w:tblGrid>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309" w:hRule="atLeast"/>
          <w:jc w:val="center"/>
        </w:trPr>
        <w:tc>
          <w:tcPr>
            <w:tcW w:w="4536" w:type="dxa"/>
            <w:shd w:val="clear" w:color="auto" w:fill="E0E0E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压力来源</w:t>
            </w:r>
          </w:p>
        </w:tc>
        <w:tc>
          <w:tcPr>
            <w:tcW w:w="3284" w:type="dxa"/>
            <w:shd w:val="clear" w:color="auto" w:fill="E0E0E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人次</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309" w:hRule="atLeast"/>
          <w:jc w:val="center"/>
        </w:trPr>
        <w:tc>
          <w:tcPr>
            <w:tcW w:w="4536"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授课课时的压力</w:t>
            </w:r>
          </w:p>
        </w:tc>
        <w:tc>
          <w:tcPr>
            <w:tcW w:w="3284"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76</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309" w:hRule="atLeast"/>
          <w:jc w:val="center"/>
        </w:trPr>
        <w:tc>
          <w:tcPr>
            <w:tcW w:w="4536" w:type="dxa"/>
            <w:shd w:val="clear" w:color="auto" w:fill="F9F9F9"/>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科研上的压力</w:t>
            </w:r>
          </w:p>
        </w:tc>
        <w:tc>
          <w:tcPr>
            <w:tcW w:w="3284" w:type="dxa"/>
            <w:shd w:val="clear" w:color="auto" w:fill="F9F9F9"/>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111</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309" w:hRule="atLeast"/>
          <w:jc w:val="center"/>
        </w:trPr>
        <w:tc>
          <w:tcPr>
            <w:tcW w:w="4536"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学生管理上的压力</w:t>
            </w:r>
          </w:p>
        </w:tc>
        <w:tc>
          <w:tcPr>
            <w:tcW w:w="3284"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153</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309" w:hRule="atLeast"/>
          <w:jc w:val="center"/>
        </w:trPr>
        <w:tc>
          <w:tcPr>
            <w:tcW w:w="4536" w:type="dxa"/>
            <w:shd w:val="clear" w:color="auto" w:fill="F9F9F9"/>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人际关系上的压力</w:t>
            </w:r>
          </w:p>
        </w:tc>
        <w:tc>
          <w:tcPr>
            <w:tcW w:w="3284" w:type="dxa"/>
            <w:shd w:val="clear" w:color="auto" w:fill="F9F9F9"/>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27</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309" w:hRule="atLeast"/>
          <w:jc w:val="center"/>
        </w:trPr>
        <w:tc>
          <w:tcPr>
            <w:tcW w:w="4536"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职业发展渠道</w:t>
            </w:r>
          </w:p>
        </w:tc>
        <w:tc>
          <w:tcPr>
            <w:tcW w:w="3284"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108</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309" w:hRule="atLeast"/>
          <w:jc w:val="center"/>
        </w:trPr>
        <w:tc>
          <w:tcPr>
            <w:tcW w:w="4536" w:type="dxa"/>
            <w:shd w:val="clear" w:color="auto" w:fill="F9F9F9"/>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薪酬待遇</w:t>
            </w:r>
          </w:p>
        </w:tc>
        <w:tc>
          <w:tcPr>
            <w:tcW w:w="3284" w:type="dxa"/>
            <w:shd w:val="clear" w:color="auto" w:fill="F9F9F9"/>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166</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309" w:hRule="atLeast"/>
          <w:jc w:val="center"/>
        </w:trPr>
        <w:tc>
          <w:tcPr>
            <w:tcW w:w="4536"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职称评定</w:t>
            </w:r>
          </w:p>
        </w:tc>
        <w:tc>
          <w:tcPr>
            <w:tcW w:w="3284"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133</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309" w:hRule="atLeast"/>
          <w:jc w:val="center"/>
        </w:trPr>
        <w:tc>
          <w:tcPr>
            <w:tcW w:w="4536" w:type="dxa"/>
            <w:shd w:val="clear" w:color="auto" w:fill="F9F9F9"/>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各类比赛</w:t>
            </w:r>
          </w:p>
        </w:tc>
        <w:tc>
          <w:tcPr>
            <w:tcW w:w="3284" w:type="dxa"/>
            <w:shd w:val="clear" w:color="auto" w:fill="F9F9F9"/>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54</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309" w:hRule="atLeast"/>
          <w:jc w:val="center"/>
        </w:trPr>
        <w:tc>
          <w:tcPr>
            <w:tcW w:w="4536"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其他</w:t>
            </w:r>
          </w:p>
        </w:tc>
        <w:tc>
          <w:tcPr>
            <w:tcW w:w="3284"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25</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318" w:hRule="atLeast"/>
          <w:jc w:val="center"/>
        </w:trPr>
        <w:tc>
          <w:tcPr>
            <w:tcW w:w="4536" w:type="dxa"/>
            <w:shd w:val="clear" w:color="auto" w:fill="E0E0E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总计</w:t>
            </w:r>
          </w:p>
        </w:tc>
        <w:tc>
          <w:tcPr>
            <w:tcW w:w="3284" w:type="dxa"/>
            <w:shd w:val="clear" w:color="auto" w:fill="E0E0E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329</w:t>
            </w:r>
          </w:p>
        </w:tc>
      </w:tr>
    </w:tbl>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bCs/>
          <w:kern w:val="0"/>
          <w:sz w:val="24"/>
          <w:szCs w:val="24"/>
          <w:lang w:val="en-US" w:eastAsia="zh-CN"/>
        </w:rPr>
      </w:pPr>
      <w:r>
        <w:rPr>
          <w:rFonts w:hint="eastAsia" w:ascii="宋体" w:hAnsi="宋体" w:cs="宋体"/>
          <w:b/>
          <w:bCs/>
          <w:kern w:val="0"/>
          <w:sz w:val="24"/>
          <w:szCs w:val="24"/>
          <w:lang w:val="en-US" w:eastAsia="zh-CN"/>
        </w:rPr>
        <w:t>（三）关于情感需求状况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情感需求状况主要围绕教职工的工作环境、人际关系、自我优越感等方面展开。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职业院校教职工工作环境的认可度总体上呈偏正态分布，正态状态良好。25人认为很好，占比7.6%；115人认为较好，占比34.9%；148人认为一般，占比44.9%；30人认为较差，占比9.12%；也有11人认为很差，占比3.34%。</w:t>
      </w:r>
      <w:r>
        <w:rPr>
          <w:rFonts w:hint="default" w:ascii="宋体" w:hAnsi="宋体" w:cs="宋体"/>
          <w:b w:val="0"/>
          <w:bCs w:val="0"/>
          <w:kern w:val="0"/>
          <w:sz w:val="24"/>
          <w:szCs w:val="24"/>
          <w:lang w:val="en-US" w:eastAsia="zh-CN"/>
        </w:rPr>
        <w:t>学校环境的好坏直接决定着教师自身的精神状态以及工作效率。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drawing>
          <wp:inline distT="0" distB="0" distL="114300" distR="114300">
            <wp:extent cx="5932805" cy="2225040"/>
            <wp:effectExtent l="0" t="0" r="10795" b="3810"/>
            <wp:docPr id="112"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93"/>
                    <pic:cNvPicPr>
                      <a:picLocks noChangeAspect="1"/>
                    </pic:cNvPicPr>
                  </pic:nvPicPr>
                  <pic:blipFill>
                    <a:blip r:embed="rId72"/>
                    <a:stretch>
                      <a:fillRect/>
                    </a:stretch>
                  </pic:blipFill>
                  <pic:spPr>
                    <a:xfrm>
                      <a:off x="0" y="0"/>
                      <a:ext cx="5932805" cy="2225040"/>
                    </a:xfrm>
                    <a:prstGeom prst="rect">
                      <a:avLst/>
                    </a:prstGeom>
                    <a:noFill/>
                    <a:ln w="9525">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图7 工作环境认可度分布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当问及同事间的工作氛围如何时，得到的结果非常令人满意，79人感到很好，占比24.1%；177人感到较好，占比53.8%；62人感到一般，占比18.8%；10人感到较差，占比3.04%；1人感到很差，占比0.3%。可以看出，我市职业院校教职工中之间的工作氛围是良好的，同事之间的关系比较融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1"/>
          <w:szCs w:val="21"/>
          <w:lang w:val="en-US" w:eastAsia="zh-CN"/>
        </w:rPr>
        <w:t>表11 同事间工作氛围</w:t>
      </w:r>
    </w:p>
    <w:tbl>
      <w:tblPr>
        <w:tblStyle w:val="14"/>
        <w:tblW w:w="9200" w:type="dxa"/>
        <w:tblInd w:w="0" w:type="dxa"/>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
      <w:tblGrid>
        <w:gridCol w:w="2852"/>
        <w:gridCol w:w="1999"/>
        <w:gridCol w:w="4349"/>
      </w:tblGrid>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317" w:hRule="atLeast"/>
        </w:trPr>
        <w:tc>
          <w:tcPr>
            <w:tcW w:w="2852" w:type="dxa"/>
            <w:shd w:val="clear" w:color="auto" w:fill="E0E0E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选项</w:t>
            </w:r>
          </w:p>
        </w:tc>
        <w:tc>
          <w:tcPr>
            <w:tcW w:w="1999" w:type="dxa"/>
            <w:shd w:val="clear" w:color="auto" w:fill="E0E0E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小计</w:t>
            </w:r>
          </w:p>
        </w:tc>
        <w:tc>
          <w:tcPr>
            <w:tcW w:w="4349" w:type="dxa"/>
            <w:shd w:val="clear" w:color="auto" w:fill="E0E0E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比例</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317" w:hRule="atLeast"/>
        </w:trPr>
        <w:tc>
          <w:tcPr>
            <w:tcW w:w="2852"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很差</w:t>
            </w:r>
          </w:p>
        </w:tc>
        <w:tc>
          <w:tcPr>
            <w:tcW w:w="1999"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1</w:t>
            </w:r>
          </w:p>
        </w:tc>
        <w:tc>
          <w:tcPr>
            <w:tcW w:w="4349"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drawing>
                <wp:inline distT="0" distB="0" distL="114300" distR="114300">
                  <wp:extent cx="1419225" cy="123825"/>
                  <wp:effectExtent l="0" t="0" r="9525" b="9525"/>
                  <wp:docPr id="113"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图片 94"/>
                          <pic:cNvPicPr>
                            <a:picLocks noChangeAspect="1"/>
                          </pic:cNvPicPr>
                        </pic:nvPicPr>
                        <pic:blipFill>
                          <a:blip r:embed="rId39"/>
                          <a:stretch>
                            <a:fillRect/>
                          </a:stretch>
                        </pic:blipFill>
                        <pic:spPr>
                          <a:xfrm>
                            <a:off x="0" y="0"/>
                            <a:ext cx="1419225"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t>0.3%</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377" w:hRule="atLeast"/>
        </w:trPr>
        <w:tc>
          <w:tcPr>
            <w:tcW w:w="2852" w:type="dxa"/>
            <w:shd w:val="clear" w:color="auto" w:fill="F9F9F9"/>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较差</w:t>
            </w:r>
          </w:p>
        </w:tc>
        <w:tc>
          <w:tcPr>
            <w:tcW w:w="1999" w:type="dxa"/>
            <w:shd w:val="clear" w:color="auto" w:fill="F9F9F9"/>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10</w:t>
            </w:r>
          </w:p>
        </w:tc>
        <w:tc>
          <w:tcPr>
            <w:tcW w:w="4349" w:type="dxa"/>
            <w:shd w:val="clear" w:color="auto" w:fill="F9F9F9"/>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drawing>
                <wp:inline distT="0" distB="0" distL="114300" distR="114300">
                  <wp:extent cx="38100" cy="123825"/>
                  <wp:effectExtent l="0" t="0" r="0" b="9525"/>
                  <wp:docPr id="114"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95"/>
                          <pic:cNvPicPr>
                            <a:picLocks noChangeAspect="1"/>
                          </pic:cNvPicPr>
                        </pic:nvPicPr>
                        <pic:blipFill>
                          <a:blip r:embed="rId37"/>
                          <a:stretch>
                            <a:fillRect/>
                          </a:stretch>
                        </pic:blipFill>
                        <pic:spPr>
                          <a:xfrm>
                            <a:off x="0" y="0"/>
                            <a:ext cx="38100"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drawing>
                <wp:inline distT="0" distB="0" distL="114300" distR="114300">
                  <wp:extent cx="1381125" cy="123825"/>
                  <wp:effectExtent l="0" t="0" r="9525" b="9525"/>
                  <wp:docPr id="115"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96"/>
                          <pic:cNvPicPr>
                            <a:picLocks noChangeAspect="1"/>
                          </pic:cNvPicPr>
                        </pic:nvPicPr>
                        <pic:blipFill>
                          <a:blip r:embed="rId38"/>
                          <a:stretch>
                            <a:fillRect/>
                          </a:stretch>
                        </pic:blipFill>
                        <pic:spPr>
                          <a:xfrm>
                            <a:off x="0" y="0"/>
                            <a:ext cx="1381125"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t>3.04%</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317" w:hRule="atLeast"/>
        </w:trPr>
        <w:tc>
          <w:tcPr>
            <w:tcW w:w="2852"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一般</w:t>
            </w:r>
          </w:p>
        </w:tc>
        <w:tc>
          <w:tcPr>
            <w:tcW w:w="1999"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62</w:t>
            </w:r>
          </w:p>
        </w:tc>
        <w:tc>
          <w:tcPr>
            <w:tcW w:w="4349"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drawing>
                <wp:inline distT="0" distB="0" distL="114300" distR="114300">
                  <wp:extent cx="266700" cy="123825"/>
                  <wp:effectExtent l="0" t="0" r="0" b="9525"/>
                  <wp:docPr id="116"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97"/>
                          <pic:cNvPicPr>
                            <a:picLocks noChangeAspect="1"/>
                          </pic:cNvPicPr>
                        </pic:nvPicPr>
                        <pic:blipFill>
                          <a:blip r:embed="rId73"/>
                          <a:stretch>
                            <a:fillRect/>
                          </a:stretch>
                        </pic:blipFill>
                        <pic:spPr>
                          <a:xfrm>
                            <a:off x="0" y="0"/>
                            <a:ext cx="266700"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drawing>
                <wp:inline distT="0" distB="0" distL="114300" distR="114300">
                  <wp:extent cx="1152525" cy="123825"/>
                  <wp:effectExtent l="0" t="0" r="9525" b="9525"/>
                  <wp:docPr id="117"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图片 98"/>
                          <pic:cNvPicPr>
                            <a:picLocks noChangeAspect="1"/>
                          </pic:cNvPicPr>
                        </pic:nvPicPr>
                        <pic:blipFill>
                          <a:blip r:embed="rId74"/>
                          <a:stretch>
                            <a:fillRect/>
                          </a:stretch>
                        </pic:blipFill>
                        <pic:spPr>
                          <a:xfrm>
                            <a:off x="0" y="0"/>
                            <a:ext cx="1152525"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t>18.84%</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317" w:hRule="atLeast"/>
        </w:trPr>
        <w:tc>
          <w:tcPr>
            <w:tcW w:w="2852" w:type="dxa"/>
            <w:shd w:val="clear" w:color="auto" w:fill="F9F9F9"/>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较好</w:t>
            </w:r>
          </w:p>
        </w:tc>
        <w:tc>
          <w:tcPr>
            <w:tcW w:w="1999" w:type="dxa"/>
            <w:shd w:val="clear" w:color="auto" w:fill="F9F9F9"/>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177</w:t>
            </w:r>
          </w:p>
        </w:tc>
        <w:tc>
          <w:tcPr>
            <w:tcW w:w="4349" w:type="dxa"/>
            <w:shd w:val="clear" w:color="auto" w:fill="F9F9F9"/>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drawing>
                <wp:inline distT="0" distB="0" distL="114300" distR="114300">
                  <wp:extent cx="762000" cy="123825"/>
                  <wp:effectExtent l="0" t="0" r="0" b="9525"/>
                  <wp:docPr id="118"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99"/>
                          <pic:cNvPicPr>
                            <a:picLocks noChangeAspect="1"/>
                          </pic:cNvPicPr>
                        </pic:nvPicPr>
                        <pic:blipFill>
                          <a:blip r:embed="rId33"/>
                          <a:stretch>
                            <a:fillRect/>
                          </a:stretch>
                        </pic:blipFill>
                        <pic:spPr>
                          <a:xfrm>
                            <a:off x="0" y="0"/>
                            <a:ext cx="762000"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drawing>
                <wp:inline distT="0" distB="0" distL="114300" distR="114300">
                  <wp:extent cx="657225" cy="123825"/>
                  <wp:effectExtent l="0" t="0" r="9525" b="9525"/>
                  <wp:docPr id="119"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图片 100"/>
                          <pic:cNvPicPr>
                            <a:picLocks noChangeAspect="1"/>
                          </pic:cNvPicPr>
                        </pic:nvPicPr>
                        <pic:blipFill>
                          <a:blip r:embed="rId34"/>
                          <a:stretch>
                            <a:fillRect/>
                          </a:stretch>
                        </pic:blipFill>
                        <pic:spPr>
                          <a:xfrm>
                            <a:off x="0" y="0"/>
                            <a:ext cx="657225"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t>53.8%</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317" w:hRule="atLeast"/>
        </w:trPr>
        <w:tc>
          <w:tcPr>
            <w:tcW w:w="2852"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很好</w:t>
            </w:r>
          </w:p>
        </w:tc>
        <w:tc>
          <w:tcPr>
            <w:tcW w:w="1999"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79</w:t>
            </w:r>
          </w:p>
        </w:tc>
        <w:tc>
          <w:tcPr>
            <w:tcW w:w="4349"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drawing>
                <wp:inline distT="0" distB="0" distL="114300" distR="114300">
                  <wp:extent cx="333375" cy="123825"/>
                  <wp:effectExtent l="0" t="0" r="9525" b="9525"/>
                  <wp:docPr id="120"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图片 101"/>
                          <pic:cNvPicPr>
                            <a:picLocks noChangeAspect="1"/>
                          </pic:cNvPicPr>
                        </pic:nvPicPr>
                        <pic:blipFill>
                          <a:blip r:embed="rId5"/>
                          <a:stretch>
                            <a:fillRect/>
                          </a:stretch>
                        </pic:blipFill>
                        <pic:spPr>
                          <a:xfrm>
                            <a:off x="0" y="0"/>
                            <a:ext cx="333375"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drawing>
                <wp:inline distT="0" distB="0" distL="114300" distR="114300">
                  <wp:extent cx="1085850" cy="123825"/>
                  <wp:effectExtent l="0" t="0" r="0" b="9525"/>
                  <wp:docPr id="121"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 102"/>
                          <pic:cNvPicPr>
                            <a:picLocks noChangeAspect="1"/>
                          </pic:cNvPicPr>
                        </pic:nvPicPr>
                        <pic:blipFill>
                          <a:blip r:embed="rId6"/>
                          <a:stretch>
                            <a:fillRect/>
                          </a:stretch>
                        </pic:blipFill>
                        <pic:spPr>
                          <a:xfrm>
                            <a:off x="0" y="0"/>
                            <a:ext cx="1085850"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t>24.01%</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282" w:hRule="atLeast"/>
        </w:trPr>
        <w:tc>
          <w:tcPr>
            <w:tcW w:w="2852" w:type="dxa"/>
            <w:shd w:val="clear" w:color="auto" w:fill="E0E0E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总计</w:t>
            </w:r>
          </w:p>
        </w:tc>
        <w:tc>
          <w:tcPr>
            <w:tcW w:w="1999" w:type="dxa"/>
            <w:shd w:val="clear" w:color="auto" w:fill="E0E0E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329</w:t>
            </w:r>
          </w:p>
        </w:tc>
        <w:tc>
          <w:tcPr>
            <w:tcW w:w="4349" w:type="dxa"/>
            <w:shd w:val="clear" w:color="auto" w:fill="E0E0E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单位人文关怀被教职工的感受程度来看，仅有50人感受很深刻，占比15.2%；75人感受不到单位的人文关怀，占比22.8%；其余204人的感受均为一般，占比62.01%。这组数据也表明职业院校教育工会工作还有很大的拓展空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drawing>
          <wp:inline distT="0" distB="0" distL="114300" distR="114300">
            <wp:extent cx="5934710" cy="2225040"/>
            <wp:effectExtent l="0" t="0" r="8890" b="3810"/>
            <wp:docPr id="122"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图片 103"/>
                    <pic:cNvPicPr>
                      <a:picLocks noChangeAspect="1"/>
                    </pic:cNvPicPr>
                  </pic:nvPicPr>
                  <pic:blipFill>
                    <a:blip r:embed="rId75"/>
                    <a:stretch>
                      <a:fillRect/>
                    </a:stretch>
                  </pic:blipFill>
                  <pic:spPr>
                    <a:xfrm>
                      <a:off x="0" y="0"/>
                      <a:ext cx="5934710" cy="2225040"/>
                    </a:xfrm>
                    <a:prstGeom prst="rect">
                      <a:avLst/>
                    </a:prstGeom>
                    <a:noFill/>
                    <a:ln w="9525">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1"/>
          <w:szCs w:val="21"/>
          <w:lang w:val="en-US" w:eastAsia="zh-CN"/>
        </w:rPr>
        <w:t>图8 感受单位人文关怀情况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当问及教职工对现在的职业(工作)是否有优越感时，仅有18人感到很有优越感，占比5.47%；130人感到有些优越感，占比39.51%；181人感到没有优越感，占比55.02。可以看出，很有优越感和有些优越感的人数加起来也不及没有优越感的人数多。表明我市职业院校教职工对自己目前从事的职业（工作）的情感满足上还有提升空间，如何通过提升职业院校教职工地位加强教职工对职业的自我优越感是未来需要研究的重要课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drawing>
          <wp:inline distT="0" distB="0" distL="114300" distR="114300">
            <wp:extent cx="5850255" cy="2193925"/>
            <wp:effectExtent l="0" t="0" r="17145" b="15875"/>
            <wp:docPr id="123"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图片 104"/>
                    <pic:cNvPicPr>
                      <a:picLocks noChangeAspect="1"/>
                    </pic:cNvPicPr>
                  </pic:nvPicPr>
                  <pic:blipFill>
                    <a:blip r:embed="rId76"/>
                    <a:stretch>
                      <a:fillRect/>
                    </a:stretch>
                  </pic:blipFill>
                  <pic:spPr>
                    <a:xfrm>
                      <a:off x="0" y="0"/>
                      <a:ext cx="5850255" cy="2193925"/>
                    </a:xfrm>
                    <a:prstGeom prst="rect">
                      <a:avLst/>
                    </a:prstGeom>
                    <a:noFill/>
                    <a:ln w="9525">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1"/>
          <w:szCs w:val="21"/>
          <w:lang w:val="en-US" w:eastAsia="zh-CN"/>
        </w:rPr>
        <w:t>图9 优越感认可度</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bCs/>
          <w:kern w:val="0"/>
          <w:sz w:val="24"/>
          <w:szCs w:val="24"/>
          <w:lang w:val="en-US" w:eastAsia="zh-CN"/>
        </w:rPr>
      </w:pPr>
      <w:r>
        <w:rPr>
          <w:rFonts w:hint="eastAsia" w:ascii="宋体" w:hAnsi="宋体" w:cs="宋体"/>
          <w:b/>
          <w:bCs/>
          <w:kern w:val="0"/>
          <w:sz w:val="24"/>
          <w:szCs w:val="24"/>
          <w:lang w:val="en-US" w:eastAsia="zh-CN"/>
        </w:rPr>
        <w:t>（四）关于尊重需求状况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关于尊重需求状况本文主要从职业吸引力判断、职业倦怠、工资收入、福利等方面展开。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bCs/>
          <w:kern w:val="0"/>
          <w:sz w:val="24"/>
          <w:szCs w:val="24"/>
          <w:lang w:val="en-US" w:eastAsia="zh-CN"/>
        </w:rPr>
      </w:pPr>
      <w:r>
        <w:rPr>
          <w:rFonts w:hint="eastAsia" w:ascii="宋体" w:hAnsi="宋体" w:cs="宋体"/>
          <w:b/>
          <w:bCs/>
          <w:kern w:val="0"/>
          <w:sz w:val="24"/>
          <w:szCs w:val="24"/>
          <w:lang w:val="en-US" w:eastAsia="zh-CN"/>
        </w:rPr>
        <w:t>1.职业吸引力判断</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首先，我市职业院校教职工群体认为职业院校教师职业的吸引力是不强的，从数据来看，仅有40人认为很有吸引力，占比12.6%；188人认为吸引力一般，占比57.14%，这一类属于最多；101人认为没有吸引力，占比30.7%。</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drawing>
          <wp:inline distT="0" distB="0" distL="114300" distR="114300">
            <wp:extent cx="5953760" cy="2232660"/>
            <wp:effectExtent l="0" t="0" r="8890" b="15240"/>
            <wp:docPr id="87"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105"/>
                    <pic:cNvPicPr>
                      <a:picLocks noChangeAspect="1"/>
                    </pic:cNvPicPr>
                  </pic:nvPicPr>
                  <pic:blipFill>
                    <a:blip r:embed="rId77"/>
                    <a:stretch>
                      <a:fillRect/>
                    </a:stretch>
                  </pic:blipFill>
                  <pic:spPr>
                    <a:xfrm>
                      <a:off x="0" y="0"/>
                      <a:ext cx="5953760" cy="2232660"/>
                    </a:xfrm>
                    <a:prstGeom prst="rect">
                      <a:avLst/>
                    </a:prstGeom>
                    <a:noFill/>
                    <a:ln w="9525">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1"/>
          <w:szCs w:val="21"/>
          <w:lang w:val="en-US" w:eastAsia="zh-CN"/>
        </w:rPr>
        <w:t>图10 职业吸引力认可情况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当问及职业院校教师职业最具吸引力有哪些方面时，有188人次认为是有寒暑假；19人次认为没有升学压力；12人次认为专业潜力大；38人次认为国家重视职业教育；44人次认为工作稳定，有保障；2人次认为社会地位比较高；26人次认为其他方面。</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center"/>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1"/>
          <w:szCs w:val="21"/>
          <w:lang w:val="en-US" w:eastAsia="zh-CN"/>
        </w:rPr>
        <w:t>表12 最具吸引力之处</w:t>
      </w:r>
    </w:p>
    <w:tbl>
      <w:tblPr>
        <w:tblStyle w:val="14"/>
        <w:tblW w:w="8900" w:type="dxa"/>
        <w:tblInd w:w="0" w:type="dxa"/>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
      <w:tblGrid>
        <w:gridCol w:w="6734"/>
        <w:gridCol w:w="2166"/>
      </w:tblGrid>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258" w:hRule="atLeast"/>
        </w:trPr>
        <w:tc>
          <w:tcPr>
            <w:tcW w:w="6734" w:type="dxa"/>
            <w:shd w:val="clear" w:color="auto" w:fill="E0E0E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最具吸引力之处</w:t>
            </w:r>
          </w:p>
        </w:tc>
        <w:tc>
          <w:tcPr>
            <w:tcW w:w="2166" w:type="dxa"/>
            <w:shd w:val="clear" w:color="auto" w:fill="E0E0E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小计</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258" w:hRule="atLeast"/>
        </w:trPr>
        <w:tc>
          <w:tcPr>
            <w:tcW w:w="6734"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有寒暑假</w:t>
            </w:r>
          </w:p>
        </w:tc>
        <w:tc>
          <w:tcPr>
            <w:tcW w:w="2166"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188</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258" w:hRule="atLeast"/>
        </w:trPr>
        <w:tc>
          <w:tcPr>
            <w:tcW w:w="6734" w:type="dxa"/>
            <w:shd w:val="clear" w:color="auto" w:fill="F9F9F9"/>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没有升学压力</w:t>
            </w:r>
          </w:p>
        </w:tc>
        <w:tc>
          <w:tcPr>
            <w:tcW w:w="2166" w:type="dxa"/>
            <w:shd w:val="clear" w:color="auto" w:fill="F9F9F9"/>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19</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258" w:hRule="atLeast"/>
        </w:trPr>
        <w:tc>
          <w:tcPr>
            <w:tcW w:w="6734"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专业潜力大</w:t>
            </w:r>
          </w:p>
        </w:tc>
        <w:tc>
          <w:tcPr>
            <w:tcW w:w="2166"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12</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258" w:hRule="atLeast"/>
        </w:trPr>
        <w:tc>
          <w:tcPr>
            <w:tcW w:w="6734" w:type="dxa"/>
            <w:shd w:val="clear" w:color="auto" w:fill="F9F9F9"/>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国家重视职业教育</w:t>
            </w:r>
          </w:p>
        </w:tc>
        <w:tc>
          <w:tcPr>
            <w:tcW w:w="2166" w:type="dxa"/>
            <w:shd w:val="clear" w:color="auto" w:fill="F9F9F9"/>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38</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258" w:hRule="atLeast"/>
        </w:trPr>
        <w:tc>
          <w:tcPr>
            <w:tcW w:w="6734"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工作稳定，有保障</w:t>
            </w:r>
          </w:p>
        </w:tc>
        <w:tc>
          <w:tcPr>
            <w:tcW w:w="2166"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44</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258" w:hRule="atLeast"/>
        </w:trPr>
        <w:tc>
          <w:tcPr>
            <w:tcW w:w="6734" w:type="dxa"/>
            <w:shd w:val="clear" w:color="auto" w:fill="F9F9F9"/>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社会地位比较高</w:t>
            </w:r>
          </w:p>
        </w:tc>
        <w:tc>
          <w:tcPr>
            <w:tcW w:w="2166" w:type="dxa"/>
            <w:shd w:val="clear" w:color="auto" w:fill="F9F9F9"/>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2</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258" w:hRule="atLeast"/>
        </w:trPr>
        <w:tc>
          <w:tcPr>
            <w:tcW w:w="6734"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其他</w:t>
            </w:r>
          </w:p>
        </w:tc>
        <w:tc>
          <w:tcPr>
            <w:tcW w:w="2166"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26</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263" w:hRule="atLeast"/>
        </w:trPr>
        <w:tc>
          <w:tcPr>
            <w:tcW w:w="6734" w:type="dxa"/>
            <w:shd w:val="clear" w:color="auto" w:fill="E0E0E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总计</w:t>
            </w:r>
          </w:p>
        </w:tc>
        <w:tc>
          <w:tcPr>
            <w:tcW w:w="2166" w:type="dxa"/>
            <w:shd w:val="clear" w:color="auto" w:fill="E0E0E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329</w:t>
            </w:r>
          </w:p>
        </w:tc>
      </w:tr>
    </w:tbl>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如果说以上对职业院校教职工吸引力是面上的讨论，那么是否希望自己子女从事职业院校教职工职业则可以直接表明该职业的吸引力。329名受访者中249名不希望自己的子女从事职业院校教职工职业，占比75.68%；80名教职工希望从事职业院校教职工职业，占比24.32%。这组数据充分说明职业院校教职工群体对自身职业吸引力的看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drawing>
          <wp:inline distT="0" distB="0" distL="114300" distR="114300">
            <wp:extent cx="5370830" cy="2014220"/>
            <wp:effectExtent l="0" t="0" r="1270" b="5080"/>
            <wp:docPr id="88"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106"/>
                    <pic:cNvPicPr>
                      <a:picLocks noChangeAspect="1"/>
                    </pic:cNvPicPr>
                  </pic:nvPicPr>
                  <pic:blipFill>
                    <a:blip r:embed="rId78"/>
                    <a:stretch>
                      <a:fillRect/>
                    </a:stretch>
                  </pic:blipFill>
                  <pic:spPr>
                    <a:xfrm>
                      <a:off x="0" y="0"/>
                      <a:ext cx="5370830" cy="2014220"/>
                    </a:xfrm>
                    <a:prstGeom prst="rect">
                      <a:avLst/>
                    </a:prstGeom>
                    <a:noFill/>
                    <a:ln w="9525">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图11 是否希望子女从事职业院校教职工职业</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bCs/>
          <w:kern w:val="0"/>
          <w:sz w:val="24"/>
          <w:szCs w:val="24"/>
          <w:lang w:val="en-US" w:eastAsia="zh-CN"/>
        </w:rPr>
      </w:pPr>
      <w:r>
        <w:rPr>
          <w:rFonts w:hint="eastAsia" w:ascii="宋体" w:hAnsi="宋体" w:cs="宋体"/>
          <w:b/>
          <w:bCs/>
          <w:kern w:val="0"/>
          <w:sz w:val="24"/>
          <w:szCs w:val="24"/>
          <w:lang w:val="en-US" w:eastAsia="zh-CN"/>
        </w:rPr>
        <w:t>2.职业倦怠感</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职业倦怠感能有效体现个体的职业情感，受访的职业院校教职工96人有职业倦怠感，占比29.18%；194人有时有职业倦怠感，占比58.97%；39人没有职业倦怠感，占比11.85%。说明大多数职业院校教职工经常会伴随着职业倦怠感工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drawing>
          <wp:inline distT="0" distB="0" distL="114300" distR="114300">
            <wp:extent cx="5184140" cy="1943735"/>
            <wp:effectExtent l="0" t="0" r="16510" b="18415"/>
            <wp:docPr id="89"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107"/>
                    <pic:cNvPicPr>
                      <a:picLocks noChangeAspect="1"/>
                    </pic:cNvPicPr>
                  </pic:nvPicPr>
                  <pic:blipFill>
                    <a:blip r:embed="rId79"/>
                    <a:stretch>
                      <a:fillRect/>
                    </a:stretch>
                  </pic:blipFill>
                  <pic:spPr>
                    <a:xfrm>
                      <a:off x="0" y="0"/>
                      <a:ext cx="5184140" cy="1943735"/>
                    </a:xfrm>
                    <a:prstGeom prst="rect">
                      <a:avLst/>
                    </a:prstGeom>
                    <a:noFill/>
                    <a:ln w="9525">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图12 职业倦怠感情况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职业倦怠感强烈到一定程度，会脱离职业。与上述职业倦怠感数据较为一致的是，受访者中有57人有“跳槽”冲动，占比17.3%；131人有时有“跳槽”冲动，占比39.82%；141人没有“跳槽”冲动，占比42.86%。可以看出超一半的受访者会有跳槽冲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drawing>
          <wp:inline distT="0" distB="0" distL="114300" distR="114300">
            <wp:extent cx="4565015" cy="1711960"/>
            <wp:effectExtent l="0" t="0" r="6985" b="2540"/>
            <wp:docPr id="90"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108"/>
                    <pic:cNvPicPr>
                      <a:picLocks noChangeAspect="1"/>
                    </pic:cNvPicPr>
                  </pic:nvPicPr>
                  <pic:blipFill>
                    <a:blip r:embed="rId80"/>
                    <a:stretch>
                      <a:fillRect/>
                    </a:stretch>
                  </pic:blipFill>
                  <pic:spPr>
                    <a:xfrm>
                      <a:off x="0" y="0"/>
                      <a:ext cx="4565015" cy="1711960"/>
                    </a:xfrm>
                    <a:prstGeom prst="rect">
                      <a:avLst/>
                    </a:prstGeom>
                    <a:noFill/>
                    <a:ln w="9525">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图13 跳槽冲动想法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假设要跳槽的话，受访者中有236人选择换单位不做职业院校教职工，占比71.7%；93人选择换单位仍做职业院校教职工，占比28.27%。</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drawing>
          <wp:inline distT="0" distB="0" distL="114300" distR="114300">
            <wp:extent cx="5897245" cy="2211070"/>
            <wp:effectExtent l="0" t="0" r="8255" b="17780"/>
            <wp:docPr id="91"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109"/>
                    <pic:cNvPicPr>
                      <a:picLocks noChangeAspect="1"/>
                    </pic:cNvPicPr>
                  </pic:nvPicPr>
                  <pic:blipFill>
                    <a:blip r:embed="rId81"/>
                    <a:stretch>
                      <a:fillRect/>
                    </a:stretch>
                  </pic:blipFill>
                  <pic:spPr>
                    <a:xfrm>
                      <a:off x="0" y="0"/>
                      <a:ext cx="5897245" cy="2211070"/>
                    </a:xfrm>
                    <a:prstGeom prst="rect">
                      <a:avLst/>
                    </a:prstGeom>
                    <a:noFill/>
                    <a:ln w="9525">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图14 假设跳槽后的选择情况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从职业院校教职工对自身工作的性价比来看，78.12%的受访者认为付出与回报是不成比例，仅有21.88%的受访者认为付出与回报成正比例关系。</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drawing>
          <wp:inline distT="0" distB="0" distL="114300" distR="114300">
            <wp:extent cx="5763260" cy="2160905"/>
            <wp:effectExtent l="0" t="0" r="8890" b="10795"/>
            <wp:docPr id="92"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110"/>
                    <pic:cNvPicPr>
                      <a:picLocks noChangeAspect="1"/>
                    </pic:cNvPicPr>
                  </pic:nvPicPr>
                  <pic:blipFill>
                    <a:blip r:embed="rId82"/>
                    <a:stretch>
                      <a:fillRect/>
                    </a:stretch>
                  </pic:blipFill>
                  <pic:spPr>
                    <a:xfrm>
                      <a:off x="0" y="0"/>
                      <a:ext cx="5763260" cy="2160905"/>
                    </a:xfrm>
                    <a:prstGeom prst="rect">
                      <a:avLst/>
                    </a:prstGeom>
                    <a:noFill/>
                    <a:ln w="9525">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图15 付出与回报是否成正比</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bCs/>
          <w:kern w:val="0"/>
          <w:sz w:val="24"/>
          <w:szCs w:val="24"/>
          <w:lang w:val="en-US" w:eastAsia="zh-CN"/>
        </w:rPr>
      </w:pPr>
      <w:r>
        <w:rPr>
          <w:rFonts w:hint="eastAsia" w:ascii="宋体" w:hAnsi="宋体" w:cs="宋体"/>
          <w:b/>
          <w:bCs/>
          <w:kern w:val="0"/>
          <w:sz w:val="24"/>
          <w:szCs w:val="24"/>
          <w:lang w:val="en-US" w:eastAsia="zh-CN"/>
        </w:rPr>
        <w:t>3.工资收入</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从受访者月均收入水平分配区间来看，11人收入处于3000元以下，占比3.34%；129人收入处于3000至5000元之间，占比39.21%；153人收入处于5000至8000元之间，占比46.5%；28人收入处于8000至10000元，占比2.43%；未发现月均收入15000元以上的教职工。可以看出多数教职工收入水平处于3000元至8000元之间，整体来看，收入水平不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drawing>
          <wp:inline distT="0" distB="0" distL="114300" distR="114300">
            <wp:extent cx="5697855" cy="2136140"/>
            <wp:effectExtent l="0" t="0" r="17145" b="16510"/>
            <wp:docPr id="93"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111"/>
                    <pic:cNvPicPr>
                      <a:picLocks noChangeAspect="1"/>
                    </pic:cNvPicPr>
                  </pic:nvPicPr>
                  <pic:blipFill>
                    <a:blip r:embed="rId83"/>
                    <a:stretch>
                      <a:fillRect/>
                    </a:stretch>
                  </pic:blipFill>
                  <pic:spPr>
                    <a:xfrm>
                      <a:off x="0" y="0"/>
                      <a:ext cx="5697855" cy="2136140"/>
                    </a:xfrm>
                    <a:prstGeom prst="rect">
                      <a:avLst/>
                    </a:prstGeom>
                    <a:noFill/>
                    <a:ln w="9525">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图16 月均收入水平区间分布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横向比较来看，受访者的收入水平与所认识的同龄人相比，认为收入较高的2人，占比0.61%；认为差不多的73人，占比22.19%；254人认为收入没有认识的同龄人高，占比77.2%。这充分说明我市职业院校教职工收入水平存在待提升的巨大空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drawing>
          <wp:inline distT="0" distB="0" distL="114300" distR="114300">
            <wp:extent cx="6077585" cy="2279015"/>
            <wp:effectExtent l="0" t="0" r="18415" b="6985"/>
            <wp:docPr id="94"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112"/>
                    <pic:cNvPicPr>
                      <a:picLocks noChangeAspect="1"/>
                    </pic:cNvPicPr>
                  </pic:nvPicPr>
                  <pic:blipFill>
                    <a:blip r:embed="rId84"/>
                    <a:stretch>
                      <a:fillRect/>
                    </a:stretch>
                  </pic:blipFill>
                  <pic:spPr>
                    <a:xfrm>
                      <a:off x="0" y="0"/>
                      <a:ext cx="6077585" cy="2279015"/>
                    </a:xfrm>
                    <a:prstGeom prst="rect">
                      <a:avLst/>
                    </a:prstGeom>
                    <a:noFill/>
                    <a:ln w="9525">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图17 与同龄人相比收入高低情况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在问及收入水平与上海大都市消费水平是否相符时，仅有5人认为是相符的，占比1.52%；70人认为是勉强相符，占比21.28%；254人都认为与上海大都市消费水平不相符，占比77.2%。</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drawing>
          <wp:inline distT="0" distB="0" distL="114300" distR="114300">
            <wp:extent cx="5259070" cy="1971675"/>
            <wp:effectExtent l="0" t="0" r="17780" b="9525"/>
            <wp:docPr id="95"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图片 113"/>
                    <pic:cNvPicPr>
                      <a:picLocks noChangeAspect="1"/>
                    </pic:cNvPicPr>
                  </pic:nvPicPr>
                  <pic:blipFill>
                    <a:blip r:embed="rId85"/>
                    <a:stretch>
                      <a:fillRect/>
                    </a:stretch>
                  </pic:blipFill>
                  <pic:spPr>
                    <a:xfrm>
                      <a:off x="0" y="0"/>
                      <a:ext cx="5259070" cy="1971675"/>
                    </a:xfrm>
                    <a:prstGeom prst="rect">
                      <a:avLst/>
                    </a:prstGeom>
                    <a:noFill/>
                    <a:ln w="9525">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图18 个人认为收入水平与上海消费相符情况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bCs/>
          <w:kern w:val="0"/>
          <w:sz w:val="24"/>
          <w:szCs w:val="24"/>
          <w:lang w:val="en-US" w:eastAsia="zh-CN"/>
        </w:rPr>
      </w:pPr>
      <w:r>
        <w:rPr>
          <w:rFonts w:hint="eastAsia" w:ascii="宋体" w:hAnsi="宋体" w:cs="宋体"/>
          <w:b/>
          <w:bCs/>
          <w:kern w:val="0"/>
          <w:sz w:val="24"/>
          <w:szCs w:val="24"/>
          <w:lang w:val="en-US" w:eastAsia="zh-CN"/>
        </w:rPr>
        <w:t>4.福利待遇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福利待遇是继工资收入之后的，最能体现情感归属的重要方面之一。受访者对单位的福利待遇满意程度如下，183人认为不满意，占比55.62%；138人认为基本满意，占比41.95%；仅有8人认为很满意，占比2.43%。教职工对福利待遇的不满意，会加剧职业倦怠感，为职业教育发展带来不稳定因素。所以急需提升职业院校教职工福利待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drawing>
          <wp:inline distT="0" distB="0" distL="114300" distR="114300">
            <wp:extent cx="5287645" cy="1982470"/>
            <wp:effectExtent l="0" t="0" r="8255" b="17780"/>
            <wp:docPr id="96"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图片 114"/>
                    <pic:cNvPicPr>
                      <a:picLocks noChangeAspect="1"/>
                    </pic:cNvPicPr>
                  </pic:nvPicPr>
                  <pic:blipFill>
                    <a:blip r:embed="rId86"/>
                    <a:stretch>
                      <a:fillRect/>
                    </a:stretch>
                  </pic:blipFill>
                  <pic:spPr>
                    <a:xfrm>
                      <a:off x="0" y="0"/>
                      <a:ext cx="5287645" cy="1982470"/>
                    </a:xfrm>
                    <a:prstGeom prst="rect">
                      <a:avLst/>
                    </a:prstGeom>
                    <a:noFill/>
                    <a:ln w="9525">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图19 福利待遇满意度</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总之，职业院校教职工职业社会吸引力不足，多数教职工有不同程度的职业倦怠，教职工工资收入处于较低水平，多数低于同龄人，主观感受上与上海的消费水平也不相称，同时对单位给予的福利待遇也不太满意。</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bCs/>
          <w:kern w:val="0"/>
          <w:sz w:val="24"/>
          <w:szCs w:val="24"/>
          <w:lang w:val="en-US" w:eastAsia="zh-CN"/>
        </w:rPr>
      </w:pPr>
      <w:r>
        <w:rPr>
          <w:rFonts w:hint="eastAsia" w:ascii="宋体" w:hAnsi="宋体" w:cs="宋体"/>
          <w:b/>
          <w:bCs/>
          <w:kern w:val="0"/>
          <w:sz w:val="24"/>
          <w:szCs w:val="24"/>
          <w:lang w:val="en-US" w:eastAsia="zh-CN"/>
        </w:rPr>
        <w:t>（五）关于自我实现需求状况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自我实现需求状况主要关注教职工的思想状况，如学生成才观，教职工对国家宏观政策的关注等。</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bCs/>
          <w:kern w:val="0"/>
          <w:sz w:val="24"/>
          <w:szCs w:val="24"/>
          <w:lang w:val="en-US" w:eastAsia="zh-CN"/>
        </w:rPr>
      </w:pPr>
      <w:r>
        <w:rPr>
          <w:rFonts w:hint="eastAsia" w:ascii="宋体" w:hAnsi="宋体" w:cs="宋体"/>
          <w:b/>
          <w:bCs/>
          <w:kern w:val="0"/>
          <w:sz w:val="24"/>
          <w:szCs w:val="24"/>
          <w:lang w:val="en-US" w:eastAsia="zh-CN"/>
        </w:rPr>
        <w:t>1.成才观</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当问到受访者对是否认为所有学生都能成才时，46人认为都能成才，占比13.98%；155人不确定，占比47.11%；128人认为有些学生很难成才，占比38.91%。可以看出，以上数据与习总书记提出的让每位学生都有人生出彩的机会愿景是不一致的，有近四成的教职工认为有些学生很难成才，近五成教职工不确定学生是否能成才。职业院校教职工所持的这种成才观不利于职业院校学生的培养，需从思想观念上扭转这一现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drawing>
          <wp:inline distT="0" distB="0" distL="114300" distR="114300">
            <wp:extent cx="4773930" cy="1790065"/>
            <wp:effectExtent l="0" t="0" r="7620" b="635"/>
            <wp:docPr id="97"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115"/>
                    <pic:cNvPicPr>
                      <a:picLocks noChangeAspect="1"/>
                    </pic:cNvPicPr>
                  </pic:nvPicPr>
                  <pic:blipFill>
                    <a:blip r:embed="rId87"/>
                    <a:stretch>
                      <a:fillRect/>
                    </a:stretch>
                  </pic:blipFill>
                  <pic:spPr>
                    <a:xfrm>
                      <a:off x="0" y="0"/>
                      <a:ext cx="4773930" cy="1790065"/>
                    </a:xfrm>
                    <a:prstGeom prst="rect">
                      <a:avLst/>
                    </a:prstGeom>
                    <a:noFill/>
                    <a:ln w="9525">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图20 对学生成才的看法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2.关注职教发展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是否主动关注职业教育发展政策与个人自我理想和目标的实现有一定关系。当问及是否会主动关注国家对职业教育发展政策时，受访者中36人一直关注，占比10.94%；124人经常关注，占比37.69%；141人偶尔关注，占比42.86%；28人不会主动关注，占比8.51%。</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1"/>
          <w:szCs w:val="21"/>
          <w:lang w:val="en-US" w:eastAsia="zh-CN"/>
        </w:rPr>
        <w:t>表13 关注职教发展政策情况</w:t>
      </w:r>
    </w:p>
    <w:tbl>
      <w:tblPr>
        <w:tblStyle w:val="14"/>
        <w:tblW w:w="8306" w:type="dxa"/>
        <w:tblInd w:w="0" w:type="dxa"/>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
      <w:tblGrid>
        <w:gridCol w:w="3350"/>
        <w:gridCol w:w="1115"/>
        <w:gridCol w:w="3841"/>
      </w:tblGrid>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500" w:hRule="atLeast"/>
        </w:trPr>
        <w:tc>
          <w:tcPr>
            <w:tcW w:w="3350" w:type="dxa"/>
            <w:shd w:val="clear" w:color="auto" w:fill="E0E0E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主动关注职教政策</w:t>
            </w:r>
          </w:p>
        </w:tc>
        <w:tc>
          <w:tcPr>
            <w:tcW w:w="1115" w:type="dxa"/>
            <w:shd w:val="clear" w:color="auto" w:fill="E0E0E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小计</w:t>
            </w:r>
          </w:p>
        </w:tc>
        <w:tc>
          <w:tcPr>
            <w:tcW w:w="3841" w:type="dxa"/>
            <w:shd w:val="clear" w:color="auto" w:fill="E0E0E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比例</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500" w:hRule="atLeast"/>
        </w:trPr>
        <w:tc>
          <w:tcPr>
            <w:tcW w:w="3350"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一直关注</w:t>
            </w:r>
          </w:p>
        </w:tc>
        <w:tc>
          <w:tcPr>
            <w:tcW w:w="1115"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36</w:t>
            </w:r>
          </w:p>
        </w:tc>
        <w:tc>
          <w:tcPr>
            <w:tcW w:w="3841"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drawing>
                <wp:inline distT="0" distB="0" distL="114300" distR="114300">
                  <wp:extent cx="152400" cy="123825"/>
                  <wp:effectExtent l="0" t="0" r="0" b="9525"/>
                  <wp:docPr id="98"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116"/>
                          <pic:cNvPicPr>
                            <a:picLocks noChangeAspect="1"/>
                          </pic:cNvPicPr>
                        </pic:nvPicPr>
                        <pic:blipFill>
                          <a:blip r:embed="rId48"/>
                          <a:stretch>
                            <a:fillRect/>
                          </a:stretch>
                        </pic:blipFill>
                        <pic:spPr>
                          <a:xfrm>
                            <a:off x="0" y="0"/>
                            <a:ext cx="152400"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drawing>
                <wp:inline distT="0" distB="0" distL="114300" distR="114300">
                  <wp:extent cx="1266825" cy="123825"/>
                  <wp:effectExtent l="0" t="0" r="9525" b="9525"/>
                  <wp:docPr id="99"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117"/>
                          <pic:cNvPicPr>
                            <a:picLocks noChangeAspect="1"/>
                          </pic:cNvPicPr>
                        </pic:nvPicPr>
                        <pic:blipFill>
                          <a:blip r:embed="rId49"/>
                          <a:stretch>
                            <a:fillRect/>
                          </a:stretch>
                        </pic:blipFill>
                        <pic:spPr>
                          <a:xfrm>
                            <a:off x="0" y="0"/>
                            <a:ext cx="1266825"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t>10.94%</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500" w:hRule="atLeast"/>
        </w:trPr>
        <w:tc>
          <w:tcPr>
            <w:tcW w:w="3350" w:type="dxa"/>
            <w:shd w:val="clear" w:color="auto" w:fill="F9F9F9"/>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经常关注</w:t>
            </w:r>
          </w:p>
        </w:tc>
        <w:tc>
          <w:tcPr>
            <w:tcW w:w="1115" w:type="dxa"/>
            <w:shd w:val="clear" w:color="auto" w:fill="F9F9F9"/>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124</w:t>
            </w:r>
          </w:p>
        </w:tc>
        <w:tc>
          <w:tcPr>
            <w:tcW w:w="3841" w:type="dxa"/>
            <w:shd w:val="clear" w:color="auto" w:fill="F9F9F9"/>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drawing>
                <wp:inline distT="0" distB="0" distL="114300" distR="114300">
                  <wp:extent cx="533400" cy="123825"/>
                  <wp:effectExtent l="0" t="0" r="0" b="9525"/>
                  <wp:docPr id="100"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图片 118"/>
                          <pic:cNvPicPr>
                            <a:picLocks noChangeAspect="1"/>
                          </pic:cNvPicPr>
                        </pic:nvPicPr>
                        <pic:blipFill>
                          <a:blip r:embed="rId88"/>
                          <a:stretch>
                            <a:fillRect/>
                          </a:stretch>
                        </pic:blipFill>
                        <pic:spPr>
                          <a:xfrm>
                            <a:off x="0" y="0"/>
                            <a:ext cx="533400"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drawing>
                <wp:inline distT="0" distB="0" distL="114300" distR="114300">
                  <wp:extent cx="885825" cy="123825"/>
                  <wp:effectExtent l="0" t="0" r="9525" b="9525"/>
                  <wp:docPr id="101"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图片 119"/>
                          <pic:cNvPicPr>
                            <a:picLocks noChangeAspect="1"/>
                          </pic:cNvPicPr>
                        </pic:nvPicPr>
                        <pic:blipFill>
                          <a:blip r:embed="rId89"/>
                          <a:stretch>
                            <a:fillRect/>
                          </a:stretch>
                        </pic:blipFill>
                        <pic:spPr>
                          <a:xfrm>
                            <a:off x="0" y="0"/>
                            <a:ext cx="885825"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t>37.69%</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500" w:hRule="atLeast"/>
        </w:trPr>
        <w:tc>
          <w:tcPr>
            <w:tcW w:w="3350"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偶尔关注</w:t>
            </w:r>
          </w:p>
        </w:tc>
        <w:tc>
          <w:tcPr>
            <w:tcW w:w="1115"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141</w:t>
            </w:r>
          </w:p>
        </w:tc>
        <w:tc>
          <w:tcPr>
            <w:tcW w:w="3841" w:type="dxa"/>
            <w:shd w:val="clear" w:color="auto" w:fill="FFFFFF"/>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drawing>
                <wp:inline distT="0" distB="0" distL="114300" distR="114300">
                  <wp:extent cx="600075" cy="123825"/>
                  <wp:effectExtent l="0" t="0" r="9525" b="9525"/>
                  <wp:docPr id="102"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图片 120"/>
                          <pic:cNvPicPr>
                            <a:picLocks noChangeAspect="1"/>
                          </pic:cNvPicPr>
                        </pic:nvPicPr>
                        <pic:blipFill>
                          <a:blip r:embed="rId90"/>
                          <a:stretch>
                            <a:fillRect/>
                          </a:stretch>
                        </pic:blipFill>
                        <pic:spPr>
                          <a:xfrm>
                            <a:off x="0" y="0"/>
                            <a:ext cx="600075"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drawing>
                <wp:inline distT="0" distB="0" distL="114300" distR="114300">
                  <wp:extent cx="819150" cy="123825"/>
                  <wp:effectExtent l="0" t="0" r="0" b="9525"/>
                  <wp:docPr id="103"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图片 121"/>
                          <pic:cNvPicPr>
                            <a:picLocks noChangeAspect="1"/>
                          </pic:cNvPicPr>
                        </pic:nvPicPr>
                        <pic:blipFill>
                          <a:blip r:embed="rId91"/>
                          <a:stretch>
                            <a:fillRect/>
                          </a:stretch>
                        </pic:blipFill>
                        <pic:spPr>
                          <a:xfrm>
                            <a:off x="0" y="0"/>
                            <a:ext cx="819150"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t>42.86%</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500" w:hRule="atLeast"/>
        </w:trPr>
        <w:tc>
          <w:tcPr>
            <w:tcW w:w="3350" w:type="dxa"/>
            <w:shd w:val="clear" w:color="auto" w:fill="F9F9F9"/>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不会主动关注</w:t>
            </w:r>
          </w:p>
        </w:tc>
        <w:tc>
          <w:tcPr>
            <w:tcW w:w="1115" w:type="dxa"/>
            <w:shd w:val="clear" w:color="auto" w:fill="F9F9F9"/>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28</w:t>
            </w:r>
          </w:p>
        </w:tc>
        <w:tc>
          <w:tcPr>
            <w:tcW w:w="3841" w:type="dxa"/>
            <w:shd w:val="clear" w:color="auto" w:fill="F9F9F9"/>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drawing>
                <wp:inline distT="0" distB="0" distL="114300" distR="114300">
                  <wp:extent cx="114300" cy="123825"/>
                  <wp:effectExtent l="0" t="0" r="0" b="9525"/>
                  <wp:docPr id="104"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图片 122"/>
                          <pic:cNvPicPr>
                            <a:picLocks noChangeAspect="1"/>
                          </pic:cNvPicPr>
                        </pic:nvPicPr>
                        <pic:blipFill>
                          <a:blip r:embed="rId92"/>
                          <a:stretch>
                            <a:fillRect/>
                          </a:stretch>
                        </pic:blipFill>
                        <pic:spPr>
                          <a:xfrm>
                            <a:off x="0" y="0"/>
                            <a:ext cx="114300"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drawing>
                <wp:inline distT="0" distB="0" distL="114300" distR="114300">
                  <wp:extent cx="1304925" cy="123825"/>
                  <wp:effectExtent l="0" t="0" r="9525" b="9525"/>
                  <wp:docPr id="105"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图片 123"/>
                          <pic:cNvPicPr>
                            <a:picLocks noChangeAspect="1"/>
                          </pic:cNvPicPr>
                        </pic:nvPicPr>
                        <pic:blipFill>
                          <a:blip r:embed="rId93"/>
                          <a:stretch>
                            <a:fillRect/>
                          </a:stretch>
                        </pic:blipFill>
                        <pic:spPr>
                          <a:xfrm>
                            <a:off x="0" y="0"/>
                            <a:ext cx="1304925" cy="123825"/>
                          </a:xfrm>
                          <a:prstGeom prst="rect">
                            <a:avLst/>
                          </a:prstGeom>
                          <a:noFill/>
                          <a:ln w="9525">
                            <a:noFill/>
                          </a:ln>
                        </pic:spPr>
                      </pic:pic>
                    </a:graphicData>
                  </a:graphic>
                </wp:inline>
              </w:drawing>
            </w:r>
            <w:r>
              <w:rPr>
                <w:rFonts w:hint="eastAsia" w:ascii="宋体" w:hAnsi="宋体" w:cs="宋体"/>
                <w:b w:val="0"/>
                <w:bCs w:val="0"/>
                <w:kern w:val="0"/>
                <w:sz w:val="21"/>
                <w:szCs w:val="21"/>
                <w:lang w:val="en-US" w:eastAsia="zh-CN"/>
              </w:rPr>
              <w:t>8.51%</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500" w:hRule="atLeast"/>
        </w:trPr>
        <w:tc>
          <w:tcPr>
            <w:tcW w:w="3350" w:type="dxa"/>
            <w:shd w:val="clear" w:color="auto" w:fill="E0E0E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总计</w:t>
            </w:r>
          </w:p>
        </w:tc>
        <w:tc>
          <w:tcPr>
            <w:tcW w:w="1115" w:type="dxa"/>
            <w:shd w:val="clear" w:color="auto" w:fill="E0E0E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329</w:t>
            </w:r>
          </w:p>
        </w:tc>
        <w:tc>
          <w:tcPr>
            <w:tcW w:w="3841" w:type="dxa"/>
            <w:shd w:val="clear" w:color="auto" w:fill="E0E0E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cs="宋体"/>
                <w:b w:val="0"/>
                <w:bCs w:val="0"/>
                <w:kern w:val="0"/>
                <w:sz w:val="21"/>
                <w:szCs w:val="21"/>
                <w:lang w:val="en-US" w:eastAsia="zh-CN"/>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bCs/>
          <w:kern w:val="0"/>
          <w:sz w:val="24"/>
          <w:szCs w:val="24"/>
          <w:lang w:val="en-US" w:eastAsia="zh-CN"/>
        </w:rPr>
      </w:pPr>
      <w:r>
        <w:rPr>
          <w:rFonts w:hint="eastAsia" w:ascii="宋体" w:hAnsi="宋体" w:cs="宋体"/>
          <w:b/>
          <w:bCs/>
          <w:kern w:val="0"/>
          <w:sz w:val="24"/>
          <w:szCs w:val="24"/>
          <w:lang w:val="en-US" w:eastAsia="zh-CN"/>
        </w:rPr>
        <w:t>四、主要结论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bCs/>
          <w:kern w:val="0"/>
          <w:sz w:val="24"/>
          <w:szCs w:val="24"/>
          <w:lang w:val="en-US" w:eastAsia="zh-CN"/>
        </w:rPr>
      </w:pPr>
      <w:r>
        <w:rPr>
          <w:rFonts w:hint="eastAsia" w:ascii="宋体" w:hAnsi="宋体" w:cs="宋体"/>
          <w:b/>
          <w:bCs/>
          <w:kern w:val="0"/>
          <w:sz w:val="24"/>
          <w:szCs w:val="24"/>
          <w:lang w:val="en-US" w:eastAsia="zh-CN"/>
        </w:rPr>
        <w:t>（一）职业院校教职工软硬环境满意度较高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职业院校教职工工作环境的认可度总体上呈偏正态分布，状态良好，超四成受访者认为较好，仅一成认为比较差。软环境工作氛围方面，近八成教职工认为工作氛围较好或很好。说明我市职业院校教职工中之间的工作氛围是良好的，同事之间的关系比较融洽。</w:t>
      </w:r>
      <w:bookmarkStart w:id="13" w:name="_GoBack"/>
      <w:bookmarkEnd w:id="13"/>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bCs/>
          <w:kern w:val="0"/>
          <w:sz w:val="24"/>
          <w:szCs w:val="24"/>
          <w:lang w:val="en-US" w:eastAsia="zh-CN"/>
        </w:rPr>
      </w:pPr>
      <w:r>
        <w:rPr>
          <w:rFonts w:hint="eastAsia" w:ascii="宋体" w:hAnsi="宋体" w:cs="宋体"/>
          <w:b/>
          <w:bCs/>
          <w:kern w:val="0"/>
          <w:sz w:val="24"/>
          <w:szCs w:val="24"/>
          <w:lang w:val="en-US" w:eastAsia="zh-CN"/>
        </w:rPr>
        <w:t>（二）我市职业院校教职工身体状况满意度总体偏低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从调查数据来看，我市职业院校教职工状况是令人担忧的，年轻群体中有近四成教职工对身体健康程度不满意，大多数为基本满意，很满意的比例仅为5.17%。这种总体偏低的情况与职业院校给教职工提供的身体健康条件保障，以及教职工工作压力、工作节奏都有关系。建议职业院校加强对教职工身体健康的关注，提供条件保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bCs/>
          <w:kern w:val="0"/>
          <w:sz w:val="24"/>
          <w:szCs w:val="24"/>
          <w:lang w:val="en-US" w:eastAsia="zh-CN"/>
        </w:rPr>
      </w:pPr>
      <w:r>
        <w:rPr>
          <w:rFonts w:hint="eastAsia" w:ascii="宋体" w:hAnsi="宋体" w:cs="宋体"/>
          <w:b/>
          <w:bCs/>
          <w:kern w:val="0"/>
          <w:sz w:val="24"/>
          <w:szCs w:val="24"/>
          <w:lang w:val="en-US" w:eastAsia="zh-CN"/>
        </w:rPr>
        <w:t>（三）职业院校教职工工作压力普遍偏大</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从调查数据来看，20.97%的受访者压力很大；49.85%受访者压力较大；25.84%压力一般；仅有3.34%的受访者人为压力不大。说明我市职业院校教职工的工作压力状况是很不乐观的，绝大多数教职工处于强大的压力状况之下。主要的压力来源于薪酬待遇、职称评定和科研。建议相关部门提升教职工的薪酬待遇，加强科研培训，提升教职工的科研能力。</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bCs/>
          <w:kern w:val="0"/>
          <w:sz w:val="24"/>
          <w:szCs w:val="24"/>
          <w:lang w:val="en-US" w:eastAsia="zh-CN"/>
        </w:rPr>
      </w:pPr>
      <w:r>
        <w:rPr>
          <w:rFonts w:hint="eastAsia" w:ascii="宋体" w:hAnsi="宋体" w:cs="宋体"/>
          <w:b/>
          <w:bCs/>
          <w:kern w:val="0"/>
          <w:sz w:val="24"/>
          <w:szCs w:val="24"/>
          <w:lang w:val="en-US" w:eastAsia="zh-CN"/>
        </w:rPr>
        <w:t>（四）职业院校教职工工作时长四成超8小时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集中表现在工作时长上，四成以上的教职工工作时长在9小时以上，加班成为常态。具体表现为0.3%的受访者小于4小时；7.29%的受访者5-6小时；46.5%的受访者7-8小时；36.17%的受访者9-12小时；还有9.73%的受访者平均每天工作超过12小时。这些数据可清楚地表明我市职业院校教职工工作压力大的程度。建议加强职业院校教职工引进力度，加大人员配置，缩短教职工工作时长。</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bCs/>
          <w:kern w:val="0"/>
          <w:sz w:val="24"/>
          <w:szCs w:val="24"/>
          <w:lang w:val="en-US" w:eastAsia="zh-CN"/>
        </w:rPr>
      </w:pPr>
      <w:r>
        <w:rPr>
          <w:rFonts w:hint="eastAsia" w:ascii="宋体" w:hAnsi="宋体" w:cs="宋体"/>
          <w:b/>
          <w:bCs/>
          <w:kern w:val="0"/>
          <w:sz w:val="24"/>
          <w:szCs w:val="24"/>
          <w:lang w:val="en-US" w:eastAsia="zh-CN"/>
        </w:rPr>
        <w:t>（五）职业院校教职工职业优越感不足</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调查数据显示，超半数教职工认为职业院校教职工职业没有优越感，吸引力不足。近六成受访者认为吸引力一般，超三成受访者认为没有吸引力。受访者认为职业院校教职工职业最有吸引力的方面是有寒暑假。但这不属于职业院校教职工独有的特征。近八成教职工不希望子女从事职业院校教职工职业。充分说明了职业院校教职工职业优越感不足。建议教育行政部门和相关部门切实加强宣传，努力提升教职工社会地位，提升教职工职业优越感，吸引人才参与到职业教育中。</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bCs/>
          <w:kern w:val="0"/>
          <w:sz w:val="24"/>
          <w:szCs w:val="24"/>
          <w:lang w:val="en-US" w:eastAsia="zh-CN"/>
        </w:rPr>
      </w:pPr>
      <w:r>
        <w:rPr>
          <w:rFonts w:hint="eastAsia" w:ascii="宋体" w:hAnsi="宋体" w:cs="宋体"/>
          <w:b/>
          <w:bCs/>
          <w:kern w:val="0"/>
          <w:sz w:val="24"/>
          <w:szCs w:val="24"/>
          <w:lang w:val="en-US" w:eastAsia="zh-CN"/>
        </w:rPr>
        <w:t>（六）职业院校教职工薪酬待遇亟待提升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从调查数据来看，多数教职工收入水平处于3000元至8000元之间，整体来看，收入水平不高。而新浪网披露的2015年上海秋季人均薪酬8601元，显然大多数教职工达不到上海秋季人均薪酬。近八成教职工认为自己的收入低于认识的同龄人。主观感受上与上海的消费水平也不相称，同时对单位给予的福利待遇也不太满意。所以，我市职业院校教职工薪酬待遇亟待提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bCs/>
          <w:kern w:val="0"/>
          <w:sz w:val="24"/>
          <w:szCs w:val="24"/>
          <w:lang w:val="en-US" w:eastAsia="zh-CN"/>
        </w:rPr>
      </w:pPr>
      <w:r>
        <w:rPr>
          <w:rFonts w:hint="eastAsia" w:ascii="宋体" w:hAnsi="宋体" w:cs="宋体"/>
          <w:b/>
          <w:bCs/>
          <w:kern w:val="0"/>
          <w:sz w:val="24"/>
          <w:szCs w:val="24"/>
          <w:lang w:val="en-US" w:eastAsia="zh-CN"/>
        </w:rPr>
        <w:t>（七）职业院校教职工反映诉求的渠道需要拓宽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r>
        <w:rPr>
          <w:rFonts w:hint="eastAsia" w:ascii="宋体" w:hAnsi="宋体" w:cs="宋体"/>
          <w:b w:val="0"/>
          <w:bCs w:val="0"/>
          <w:kern w:val="0"/>
          <w:sz w:val="24"/>
          <w:szCs w:val="24"/>
          <w:lang w:val="en-US" w:eastAsia="zh-CN"/>
        </w:rPr>
        <w:t>超八成受访者认为学校回应教职工诉求的渠道一般或没有渠道，基于此，教职工也不会或不知道该如何反映自身的诉求。从这个角度来看，职业院校建立和拓宽教职工反映诉求的渠道显得非常有必要。尽可能及时地满足职业院校教职工合理的利益诉求，保障教职工基本的权益，提升职业院校人才培养质量。</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宋体" w:hAnsi="宋体" w:cs="宋体"/>
          <w:b w:val="0"/>
          <w:bCs w:val="0"/>
          <w:kern w:val="0"/>
          <w:sz w:val="24"/>
          <w:szCs w:val="24"/>
          <w:lang w:val="en-US" w:eastAsia="zh-CN"/>
        </w:rPr>
      </w:pPr>
    </w:p>
    <w:p>
      <w:pPr>
        <w:jc w:val="left"/>
        <w:rPr>
          <w:rFonts w:hint="eastAsia" w:ascii="宋体" w:hAnsi="宋体" w:cs="宋体"/>
          <w:szCs w:val="21"/>
        </w:rPr>
      </w:pPr>
    </w:p>
    <w:p>
      <w:pPr>
        <w:keepNext w:val="0"/>
        <w:keepLines w:val="0"/>
        <w:pageBreakBefore w:val="0"/>
        <w:kinsoku/>
        <w:wordWrap/>
        <w:overflowPunct/>
        <w:topLinePunct w:val="0"/>
        <w:bidi w:val="0"/>
        <w:snapToGrid/>
        <w:spacing w:line="240" w:lineRule="auto"/>
        <w:ind w:left="0" w:leftChars="0" w:right="0" w:rightChars="0" w:firstLine="0" w:firstLineChars="0"/>
        <w:jc w:val="left"/>
        <w:textAlignment w:val="auto"/>
        <w:outlineLvl w:val="9"/>
        <w:rPr>
          <w:rFonts w:hint="eastAsia" w:ascii="宋体" w:hAnsi="宋体" w:eastAsia="宋体" w:cs="宋体"/>
          <w:sz w:val="21"/>
          <w:szCs w:val="21"/>
        </w:rPr>
      </w:pPr>
    </w:p>
    <w:sectPr>
      <w:footerReference r:id="rId3" w:type="default"/>
      <w:pgSz w:w="11906" w:h="16838"/>
      <w:pgMar w:top="1440" w:right="1797" w:bottom="1440" w:left="1797"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华文新魏">
    <w:panose1 w:val="02010800040101010101"/>
    <w:charset w:val="86"/>
    <w:family w:val="auto"/>
    <w:pitch w:val="default"/>
    <w:sig w:usb0="00000001" w:usb1="080F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华文宋体">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华文楷体">
    <w:panose1 w:val="02010600040101010101"/>
    <w:charset w:val="86"/>
    <w:family w:val="auto"/>
    <w:pitch w:val="default"/>
    <w:sig w:usb0="00000287" w:usb1="080F0000" w:usb2="00000000" w:usb3="00000000" w:csb0="0004009F" w:csb1="DFD70000"/>
  </w:font>
  <w:font w:name="Batang">
    <w:panose1 w:val="0203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 PAGE   \* MERGEFORMAT </w:instrText>
    </w:r>
    <w:r>
      <w:fldChar w:fldCharType="separate"/>
    </w:r>
    <w:r>
      <w:t>16</w:t>
    </w:r>
    <w:r>
      <w:rPr>
        <w:lang w:val="zh-CN"/>
      </w:rPr>
      <w:fldChar w:fldCharType="end"/>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58EC3D"/>
    <w:multiLevelType w:val="singleLevel"/>
    <w:tmpl w:val="5858EC3D"/>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E340CD"/>
    <w:rsid w:val="0004260A"/>
    <w:rsid w:val="00046E26"/>
    <w:rsid w:val="000603E9"/>
    <w:rsid w:val="00060FE7"/>
    <w:rsid w:val="0007078E"/>
    <w:rsid w:val="0007120B"/>
    <w:rsid w:val="00075B6B"/>
    <w:rsid w:val="00086AE5"/>
    <w:rsid w:val="000962C8"/>
    <w:rsid w:val="000B12ED"/>
    <w:rsid w:val="000C5031"/>
    <w:rsid w:val="000D4C07"/>
    <w:rsid w:val="000E5AC8"/>
    <w:rsid w:val="001212D0"/>
    <w:rsid w:val="00141B35"/>
    <w:rsid w:val="00151204"/>
    <w:rsid w:val="00195F9F"/>
    <w:rsid w:val="001A2C4B"/>
    <w:rsid w:val="001D1D60"/>
    <w:rsid w:val="001E7094"/>
    <w:rsid w:val="00260D30"/>
    <w:rsid w:val="0027639B"/>
    <w:rsid w:val="002927CB"/>
    <w:rsid w:val="002D4457"/>
    <w:rsid w:val="002E0616"/>
    <w:rsid w:val="002E09F0"/>
    <w:rsid w:val="002F4795"/>
    <w:rsid w:val="003010D4"/>
    <w:rsid w:val="003D6042"/>
    <w:rsid w:val="00441924"/>
    <w:rsid w:val="00451F9A"/>
    <w:rsid w:val="00457E78"/>
    <w:rsid w:val="0046283B"/>
    <w:rsid w:val="00467C13"/>
    <w:rsid w:val="004857E8"/>
    <w:rsid w:val="004941C3"/>
    <w:rsid w:val="004A1478"/>
    <w:rsid w:val="004A70AF"/>
    <w:rsid w:val="004E40D0"/>
    <w:rsid w:val="004E4FB3"/>
    <w:rsid w:val="005004CD"/>
    <w:rsid w:val="00502D6E"/>
    <w:rsid w:val="00511239"/>
    <w:rsid w:val="0051412D"/>
    <w:rsid w:val="005221DC"/>
    <w:rsid w:val="00526B3D"/>
    <w:rsid w:val="005311CD"/>
    <w:rsid w:val="00531836"/>
    <w:rsid w:val="00551EAD"/>
    <w:rsid w:val="005802F3"/>
    <w:rsid w:val="005817CB"/>
    <w:rsid w:val="00581A9D"/>
    <w:rsid w:val="005914C1"/>
    <w:rsid w:val="005915CA"/>
    <w:rsid w:val="005B4836"/>
    <w:rsid w:val="005C022F"/>
    <w:rsid w:val="005C3B00"/>
    <w:rsid w:val="005D06D3"/>
    <w:rsid w:val="005D7DBD"/>
    <w:rsid w:val="005E2152"/>
    <w:rsid w:val="005E5D20"/>
    <w:rsid w:val="006463FF"/>
    <w:rsid w:val="00655D00"/>
    <w:rsid w:val="006A4F0A"/>
    <w:rsid w:val="006C5C01"/>
    <w:rsid w:val="006F197D"/>
    <w:rsid w:val="006F3338"/>
    <w:rsid w:val="00705ADD"/>
    <w:rsid w:val="00707120"/>
    <w:rsid w:val="00711372"/>
    <w:rsid w:val="00756299"/>
    <w:rsid w:val="00765AA4"/>
    <w:rsid w:val="00770659"/>
    <w:rsid w:val="00771C19"/>
    <w:rsid w:val="007760B2"/>
    <w:rsid w:val="007A421F"/>
    <w:rsid w:val="007A4558"/>
    <w:rsid w:val="007B0070"/>
    <w:rsid w:val="007E1AEF"/>
    <w:rsid w:val="007E38A4"/>
    <w:rsid w:val="00817ED0"/>
    <w:rsid w:val="00821DF4"/>
    <w:rsid w:val="00882C28"/>
    <w:rsid w:val="00882DA3"/>
    <w:rsid w:val="00883452"/>
    <w:rsid w:val="008954F8"/>
    <w:rsid w:val="00896BB8"/>
    <w:rsid w:val="008A774D"/>
    <w:rsid w:val="008B7EFF"/>
    <w:rsid w:val="00904EF0"/>
    <w:rsid w:val="00907431"/>
    <w:rsid w:val="009179AD"/>
    <w:rsid w:val="00921D6E"/>
    <w:rsid w:val="009220BF"/>
    <w:rsid w:val="0093135B"/>
    <w:rsid w:val="00944F81"/>
    <w:rsid w:val="00963483"/>
    <w:rsid w:val="009722EE"/>
    <w:rsid w:val="0098075D"/>
    <w:rsid w:val="009A128F"/>
    <w:rsid w:val="009C0F25"/>
    <w:rsid w:val="009C6472"/>
    <w:rsid w:val="009C7CC5"/>
    <w:rsid w:val="00A110B7"/>
    <w:rsid w:val="00A14C5A"/>
    <w:rsid w:val="00A46C6A"/>
    <w:rsid w:val="00A80963"/>
    <w:rsid w:val="00AA26BF"/>
    <w:rsid w:val="00AA2F75"/>
    <w:rsid w:val="00AE63A5"/>
    <w:rsid w:val="00B130FA"/>
    <w:rsid w:val="00B267AF"/>
    <w:rsid w:val="00B276A3"/>
    <w:rsid w:val="00B32C2F"/>
    <w:rsid w:val="00B351CE"/>
    <w:rsid w:val="00B62B1F"/>
    <w:rsid w:val="00B76E7D"/>
    <w:rsid w:val="00B77C16"/>
    <w:rsid w:val="00B95CC9"/>
    <w:rsid w:val="00BC78B0"/>
    <w:rsid w:val="00BE0966"/>
    <w:rsid w:val="00BE29F8"/>
    <w:rsid w:val="00BF0949"/>
    <w:rsid w:val="00BF4BAC"/>
    <w:rsid w:val="00C04336"/>
    <w:rsid w:val="00C21B7D"/>
    <w:rsid w:val="00C548B5"/>
    <w:rsid w:val="00C643DC"/>
    <w:rsid w:val="00C65670"/>
    <w:rsid w:val="00C90F28"/>
    <w:rsid w:val="00CA415B"/>
    <w:rsid w:val="00CC0976"/>
    <w:rsid w:val="00CC150C"/>
    <w:rsid w:val="00CC6801"/>
    <w:rsid w:val="00CC7862"/>
    <w:rsid w:val="00CD6285"/>
    <w:rsid w:val="00CD6937"/>
    <w:rsid w:val="00CF4099"/>
    <w:rsid w:val="00D064B4"/>
    <w:rsid w:val="00D1593C"/>
    <w:rsid w:val="00D175C1"/>
    <w:rsid w:val="00D437F2"/>
    <w:rsid w:val="00DA14D5"/>
    <w:rsid w:val="00DB5704"/>
    <w:rsid w:val="00DC3517"/>
    <w:rsid w:val="00DD60CE"/>
    <w:rsid w:val="00DE1464"/>
    <w:rsid w:val="00E340CD"/>
    <w:rsid w:val="00E4268C"/>
    <w:rsid w:val="00E442CE"/>
    <w:rsid w:val="00E56999"/>
    <w:rsid w:val="00E8038B"/>
    <w:rsid w:val="00E80F67"/>
    <w:rsid w:val="00E816D8"/>
    <w:rsid w:val="00E81FDF"/>
    <w:rsid w:val="00E86414"/>
    <w:rsid w:val="00EA218A"/>
    <w:rsid w:val="00EB0C27"/>
    <w:rsid w:val="00EB3C42"/>
    <w:rsid w:val="00EC7606"/>
    <w:rsid w:val="00F15665"/>
    <w:rsid w:val="00F37102"/>
    <w:rsid w:val="00F444EA"/>
    <w:rsid w:val="00F60F50"/>
    <w:rsid w:val="00F6203C"/>
    <w:rsid w:val="00F6624D"/>
    <w:rsid w:val="00F958C4"/>
    <w:rsid w:val="00FA3FCD"/>
    <w:rsid w:val="00FA4501"/>
    <w:rsid w:val="00FB294B"/>
    <w:rsid w:val="00FB3582"/>
    <w:rsid w:val="00FF5102"/>
    <w:rsid w:val="01E811AC"/>
    <w:rsid w:val="040B35D4"/>
    <w:rsid w:val="04122DBB"/>
    <w:rsid w:val="045A4374"/>
    <w:rsid w:val="050D6773"/>
    <w:rsid w:val="066063A8"/>
    <w:rsid w:val="06A20733"/>
    <w:rsid w:val="07816EE7"/>
    <w:rsid w:val="08B32E54"/>
    <w:rsid w:val="09F043B8"/>
    <w:rsid w:val="0B3E5701"/>
    <w:rsid w:val="0CD7229F"/>
    <w:rsid w:val="0DED63AF"/>
    <w:rsid w:val="0E2E1B66"/>
    <w:rsid w:val="0E891EBF"/>
    <w:rsid w:val="0EAA5A1E"/>
    <w:rsid w:val="0FA9511E"/>
    <w:rsid w:val="0FDF0019"/>
    <w:rsid w:val="0FF67AF0"/>
    <w:rsid w:val="15635844"/>
    <w:rsid w:val="15AC781F"/>
    <w:rsid w:val="15FD3525"/>
    <w:rsid w:val="16777E9B"/>
    <w:rsid w:val="16951022"/>
    <w:rsid w:val="1788002A"/>
    <w:rsid w:val="18A70482"/>
    <w:rsid w:val="1ABF0F24"/>
    <w:rsid w:val="1B7C6CA6"/>
    <w:rsid w:val="1C2D3246"/>
    <w:rsid w:val="1C39582B"/>
    <w:rsid w:val="1CAF76BE"/>
    <w:rsid w:val="1CB70108"/>
    <w:rsid w:val="1CDC2CAC"/>
    <w:rsid w:val="1CEB0181"/>
    <w:rsid w:val="1CF76192"/>
    <w:rsid w:val="1DC756B2"/>
    <w:rsid w:val="1E344B21"/>
    <w:rsid w:val="1E3A1F69"/>
    <w:rsid w:val="1F08639D"/>
    <w:rsid w:val="1F197111"/>
    <w:rsid w:val="21EC76E1"/>
    <w:rsid w:val="237F064A"/>
    <w:rsid w:val="24B46AB7"/>
    <w:rsid w:val="26A87E72"/>
    <w:rsid w:val="27DC530D"/>
    <w:rsid w:val="28135E37"/>
    <w:rsid w:val="285431F6"/>
    <w:rsid w:val="289F3E06"/>
    <w:rsid w:val="28A1463C"/>
    <w:rsid w:val="28B72751"/>
    <w:rsid w:val="2A154C5C"/>
    <w:rsid w:val="2A2158AB"/>
    <w:rsid w:val="2BB43AC3"/>
    <w:rsid w:val="2FA84638"/>
    <w:rsid w:val="2FCF49D2"/>
    <w:rsid w:val="30EE4C54"/>
    <w:rsid w:val="31FB5F53"/>
    <w:rsid w:val="33334E8E"/>
    <w:rsid w:val="35CA69E4"/>
    <w:rsid w:val="360D7B3A"/>
    <w:rsid w:val="36720B63"/>
    <w:rsid w:val="39D46BEB"/>
    <w:rsid w:val="39DA0CEE"/>
    <w:rsid w:val="3B3C073C"/>
    <w:rsid w:val="3BCE5AAC"/>
    <w:rsid w:val="3E623A10"/>
    <w:rsid w:val="3EB60F12"/>
    <w:rsid w:val="3FD44929"/>
    <w:rsid w:val="410B403A"/>
    <w:rsid w:val="41E54E31"/>
    <w:rsid w:val="41E61D96"/>
    <w:rsid w:val="41E975B0"/>
    <w:rsid w:val="44647CC4"/>
    <w:rsid w:val="497B54AE"/>
    <w:rsid w:val="4A120F18"/>
    <w:rsid w:val="4B5C462F"/>
    <w:rsid w:val="4BF25E27"/>
    <w:rsid w:val="4C946B70"/>
    <w:rsid w:val="4D6A3D7A"/>
    <w:rsid w:val="50AA5AE5"/>
    <w:rsid w:val="50E813A4"/>
    <w:rsid w:val="50EA68CF"/>
    <w:rsid w:val="51744CD8"/>
    <w:rsid w:val="52F34726"/>
    <w:rsid w:val="55364250"/>
    <w:rsid w:val="565F3E59"/>
    <w:rsid w:val="57B62804"/>
    <w:rsid w:val="58131F91"/>
    <w:rsid w:val="5949510A"/>
    <w:rsid w:val="597823D6"/>
    <w:rsid w:val="59D0474E"/>
    <w:rsid w:val="5C0B5D98"/>
    <w:rsid w:val="5D3F1487"/>
    <w:rsid w:val="5DEC28A5"/>
    <w:rsid w:val="603945EC"/>
    <w:rsid w:val="60B80142"/>
    <w:rsid w:val="61AF3F88"/>
    <w:rsid w:val="624E53D8"/>
    <w:rsid w:val="62D8420B"/>
    <w:rsid w:val="633F4960"/>
    <w:rsid w:val="63F7758F"/>
    <w:rsid w:val="64126D73"/>
    <w:rsid w:val="649D1CE6"/>
    <w:rsid w:val="65873F57"/>
    <w:rsid w:val="65E55EB8"/>
    <w:rsid w:val="67996616"/>
    <w:rsid w:val="68365FFD"/>
    <w:rsid w:val="68F331BA"/>
    <w:rsid w:val="6A8B32BF"/>
    <w:rsid w:val="718225C7"/>
    <w:rsid w:val="71C42137"/>
    <w:rsid w:val="72C309D4"/>
    <w:rsid w:val="72EA1885"/>
    <w:rsid w:val="7402531E"/>
    <w:rsid w:val="744124CA"/>
    <w:rsid w:val="74524687"/>
    <w:rsid w:val="756A5430"/>
    <w:rsid w:val="769B68AA"/>
    <w:rsid w:val="76C6768A"/>
    <w:rsid w:val="78787BAA"/>
    <w:rsid w:val="78A95882"/>
    <w:rsid w:val="79350CE9"/>
    <w:rsid w:val="7A294A79"/>
    <w:rsid w:val="7B532CE1"/>
    <w:rsid w:val="7BA1555F"/>
    <w:rsid w:val="7BE973A7"/>
    <w:rsid w:val="7C550E75"/>
    <w:rsid w:val="7C5F09A8"/>
    <w:rsid w:val="7C817E43"/>
    <w:rsid w:val="7DA60233"/>
    <w:rsid w:val="7DBE36DC"/>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qFormat="1" w:uiPriority="0" w:semiHidden="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iPriority="0" w:semiHidden="0" w:name="footnote reference"/>
    <w:lsdException w:uiPriority="0" w:name="annotation reference"/>
    <w:lsdException w:uiPriority="0" w:name="line number"/>
    <w:lsdException w:qFormat="1"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20"/>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1"/>
    <w:unhideWhenUsed/>
    <w:qFormat/>
    <w:uiPriority w:val="9"/>
    <w:pPr>
      <w:keepNext/>
      <w:keepLines/>
      <w:spacing w:before="260" w:after="260" w:line="416" w:lineRule="auto"/>
      <w:outlineLvl w:val="1"/>
    </w:pPr>
    <w:rPr>
      <w:rFonts w:ascii="Cambria" w:hAnsi="Cambria" w:cs="黑体"/>
      <w:b/>
      <w:bCs/>
      <w:sz w:val="32"/>
      <w:szCs w:val="32"/>
    </w:rPr>
  </w:style>
  <w:style w:type="character" w:default="1" w:styleId="10">
    <w:name w:val="Default Paragraph Font"/>
    <w:unhideWhenUsed/>
    <w:qFormat/>
    <w:uiPriority w:val="1"/>
  </w:style>
  <w:style w:type="table" w:default="1" w:styleId="14">
    <w:name w:val="Normal Table"/>
    <w:unhideWhenUsed/>
    <w:qFormat/>
    <w:uiPriority w:val="99"/>
    <w:tblPr>
      <w:tblLayout w:type="fixed"/>
      <w:tblCellMar>
        <w:top w:w="0" w:type="dxa"/>
        <w:left w:w="108" w:type="dxa"/>
        <w:bottom w:w="0" w:type="dxa"/>
        <w:right w:w="108" w:type="dxa"/>
      </w:tblCellMar>
    </w:tblPr>
  </w:style>
  <w:style w:type="paragraph" w:styleId="4">
    <w:name w:val="Balloon Text"/>
    <w:basedOn w:val="1"/>
    <w:link w:val="23"/>
    <w:unhideWhenUsed/>
    <w:qFormat/>
    <w:uiPriority w:val="99"/>
    <w:rPr>
      <w:sz w:val="18"/>
      <w:szCs w:val="18"/>
    </w:rPr>
  </w:style>
  <w:style w:type="paragraph" w:styleId="5">
    <w:name w:val="footer"/>
    <w:basedOn w:val="1"/>
    <w:link w:val="19"/>
    <w:unhideWhenUsed/>
    <w:qFormat/>
    <w:uiPriority w:val="99"/>
    <w:pPr>
      <w:tabs>
        <w:tab w:val="center" w:pos="4153"/>
        <w:tab w:val="right" w:pos="8306"/>
      </w:tabs>
      <w:snapToGrid w:val="0"/>
      <w:jc w:val="left"/>
    </w:pPr>
    <w:rPr>
      <w:sz w:val="18"/>
      <w:szCs w:val="18"/>
    </w:rPr>
  </w:style>
  <w:style w:type="paragraph" w:styleId="6">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unhideWhenUsed/>
    <w:qFormat/>
    <w:uiPriority w:val="39"/>
    <w:rPr>
      <w:b/>
      <w:sz w:val="28"/>
    </w:rPr>
  </w:style>
  <w:style w:type="paragraph" w:styleId="8">
    <w:name w:val="footnote text"/>
    <w:basedOn w:val="1"/>
    <w:link w:val="22"/>
    <w:unhideWhenUsed/>
    <w:qFormat/>
    <w:uiPriority w:val="0"/>
    <w:pPr>
      <w:snapToGrid w:val="0"/>
      <w:jc w:val="left"/>
    </w:pPr>
    <w:rPr>
      <w:sz w:val="18"/>
      <w:szCs w:val="18"/>
    </w:rPr>
  </w:style>
  <w:style w:type="paragraph" w:styleId="9">
    <w:name w:val="toc 2"/>
    <w:basedOn w:val="1"/>
    <w:next w:val="1"/>
    <w:unhideWhenUsed/>
    <w:qFormat/>
    <w:uiPriority w:val="39"/>
    <w:pPr>
      <w:ind w:left="420" w:leftChars="200"/>
    </w:pPr>
    <w:rPr>
      <w:sz w:val="28"/>
    </w:rPr>
  </w:style>
  <w:style w:type="character" w:styleId="11">
    <w:name w:val="page number"/>
    <w:basedOn w:val="10"/>
    <w:unhideWhenUsed/>
    <w:qFormat/>
    <w:uiPriority w:val="0"/>
  </w:style>
  <w:style w:type="character" w:styleId="12">
    <w:name w:val="Hyperlink"/>
    <w:basedOn w:val="10"/>
    <w:unhideWhenUsed/>
    <w:qFormat/>
    <w:uiPriority w:val="99"/>
    <w:rPr>
      <w:color w:val="0000FF"/>
      <w:u w:val="single"/>
    </w:rPr>
  </w:style>
  <w:style w:type="character" w:styleId="13">
    <w:name w:val="footnote reference"/>
    <w:basedOn w:val="10"/>
    <w:unhideWhenUsed/>
    <w:qFormat/>
    <w:uiPriority w:val="0"/>
    <w:rPr>
      <w:vertAlign w:val="superscript"/>
    </w:rPr>
  </w:style>
  <w:style w:type="paragraph" w:customStyle="1" w:styleId="15">
    <w:name w:val="_Style 10"/>
    <w:basedOn w:val="1"/>
    <w:qFormat/>
    <w:uiPriority w:val="0"/>
    <w:rPr>
      <w:rFonts w:ascii="Tahoma" w:hAnsi="Tahoma"/>
      <w:sz w:val="24"/>
      <w:szCs w:val="20"/>
    </w:rPr>
  </w:style>
  <w:style w:type="paragraph" w:customStyle="1" w:styleId="16">
    <w:name w:val="列出段落1"/>
    <w:basedOn w:val="1"/>
    <w:qFormat/>
    <w:uiPriority w:val="34"/>
    <w:pPr>
      <w:ind w:firstLine="420" w:firstLineChars="200"/>
    </w:pPr>
  </w:style>
  <w:style w:type="paragraph" w:customStyle="1" w:styleId="17">
    <w:name w:val="TOC 标题1"/>
    <w:basedOn w:val="2"/>
    <w:next w:val="1"/>
    <w:unhideWhenUsed/>
    <w:qFormat/>
    <w:uiPriority w:val="39"/>
    <w:pPr>
      <w:widowControl/>
      <w:spacing w:before="480" w:after="0" w:line="276" w:lineRule="auto"/>
      <w:jc w:val="left"/>
      <w:outlineLvl w:val="9"/>
    </w:pPr>
    <w:rPr>
      <w:rFonts w:ascii="Cambria" w:hAnsi="Cambria" w:cs="黑体"/>
      <w:color w:val="365F90"/>
      <w:kern w:val="0"/>
      <w:sz w:val="28"/>
      <w:szCs w:val="28"/>
    </w:rPr>
  </w:style>
  <w:style w:type="character" w:customStyle="1" w:styleId="18">
    <w:name w:val="页眉 Char"/>
    <w:basedOn w:val="10"/>
    <w:link w:val="6"/>
    <w:qFormat/>
    <w:uiPriority w:val="99"/>
    <w:rPr>
      <w:sz w:val="18"/>
      <w:szCs w:val="18"/>
    </w:rPr>
  </w:style>
  <w:style w:type="character" w:customStyle="1" w:styleId="19">
    <w:name w:val="页脚 Char"/>
    <w:basedOn w:val="10"/>
    <w:link w:val="5"/>
    <w:qFormat/>
    <w:uiPriority w:val="99"/>
    <w:rPr>
      <w:sz w:val="18"/>
      <w:szCs w:val="18"/>
    </w:rPr>
  </w:style>
  <w:style w:type="character" w:customStyle="1" w:styleId="20">
    <w:name w:val="标题 1 Char"/>
    <w:basedOn w:val="10"/>
    <w:link w:val="2"/>
    <w:qFormat/>
    <w:uiPriority w:val="0"/>
    <w:rPr>
      <w:rFonts w:ascii="Times New Roman" w:hAnsi="Times New Roman" w:eastAsia="宋体" w:cs="Times New Roman"/>
      <w:b/>
      <w:bCs/>
      <w:kern w:val="44"/>
      <w:sz w:val="44"/>
      <w:szCs w:val="44"/>
    </w:rPr>
  </w:style>
  <w:style w:type="character" w:customStyle="1" w:styleId="21">
    <w:name w:val="标题 2 Char"/>
    <w:basedOn w:val="10"/>
    <w:link w:val="3"/>
    <w:qFormat/>
    <w:uiPriority w:val="9"/>
    <w:rPr>
      <w:rFonts w:ascii="Cambria" w:hAnsi="Cambria" w:eastAsia="宋体" w:cs="黑体"/>
      <w:b/>
      <w:bCs/>
      <w:sz w:val="32"/>
      <w:szCs w:val="32"/>
    </w:rPr>
  </w:style>
  <w:style w:type="character" w:customStyle="1" w:styleId="22">
    <w:name w:val="脚注文本 Char"/>
    <w:basedOn w:val="10"/>
    <w:link w:val="8"/>
    <w:qFormat/>
    <w:uiPriority w:val="0"/>
    <w:rPr>
      <w:rFonts w:ascii="Times New Roman" w:hAnsi="Times New Roman" w:eastAsia="宋体" w:cs="Times New Roman"/>
      <w:sz w:val="18"/>
      <w:szCs w:val="18"/>
    </w:rPr>
  </w:style>
  <w:style w:type="character" w:customStyle="1" w:styleId="23">
    <w:name w:val="批注框文本 Char"/>
    <w:basedOn w:val="10"/>
    <w:link w:val="4"/>
    <w:semiHidden/>
    <w:qFormat/>
    <w:uiPriority w:val="99"/>
    <w:rPr>
      <w:rFonts w:ascii="Times New Roman" w:hAnsi="Times New Roman" w:eastAsia="宋体" w:cs="Times New Roman"/>
      <w:sz w:val="18"/>
      <w:szCs w:val="18"/>
    </w:rPr>
  </w:style>
  <w:style w:type="paragraph" w:customStyle="1" w:styleId="24">
    <w:name w:val="列出段落2"/>
    <w:basedOn w:val="1"/>
    <w:qFormat/>
    <w:uiPriority w:val="0"/>
    <w:pPr>
      <w:ind w:firstLine="420" w:firstLineChars="200"/>
    </w:pPr>
  </w:style>
  <w:style w:type="paragraph" w:customStyle="1" w:styleId="25">
    <w:name w:val="列出段落3"/>
    <w:basedOn w:val="1"/>
    <w:unhideWhenUsed/>
    <w:qFormat/>
    <w:uiPriority w:val="99"/>
    <w:pPr>
      <w:ind w:firstLine="420" w:firstLineChars="200"/>
    </w:pPr>
  </w:style>
  <w:style w:type="paragraph" w:customStyle="1" w:styleId="26">
    <w:name w:val="_Style 2"/>
    <w:basedOn w:val="1"/>
    <w:qFormat/>
    <w:uiPriority w:val="99"/>
    <w:pPr>
      <w:ind w:firstLine="420" w:firstLineChars="200"/>
    </w:pPr>
  </w:style>
</w:styles>
</file>

<file path=word/_rels/document.xml.rels><?xml version="1.0" encoding="UTF-8" standalone="yes"?>
<Relationships xmlns="http://schemas.openxmlformats.org/package/2006/relationships"><Relationship Id="rId96" Type="http://schemas.openxmlformats.org/officeDocument/2006/relationships/fontTable" Target="fontTable.xml"/><Relationship Id="rId95" Type="http://schemas.openxmlformats.org/officeDocument/2006/relationships/numbering" Target="numbering.xml"/><Relationship Id="rId94" Type="http://schemas.openxmlformats.org/officeDocument/2006/relationships/customXml" Target="../customXml/item1.xml"/><Relationship Id="rId93" Type="http://schemas.openxmlformats.org/officeDocument/2006/relationships/image" Target="media/image89.png"/><Relationship Id="rId92" Type="http://schemas.openxmlformats.org/officeDocument/2006/relationships/image" Target="media/image88.png"/><Relationship Id="rId91" Type="http://schemas.openxmlformats.org/officeDocument/2006/relationships/image" Target="media/image87.png"/><Relationship Id="rId90" Type="http://schemas.openxmlformats.org/officeDocument/2006/relationships/image" Target="media/image86.png"/><Relationship Id="rId9" Type="http://schemas.openxmlformats.org/officeDocument/2006/relationships/image" Target="media/image5.png"/><Relationship Id="rId89" Type="http://schemas.openxmlformats.org/officeDocument/2006/relationships/image" Target="media/image85.png"/><Relationship Id="rId88" Type="http://schemas.openxmlformats.org/officeDocument/2006/relationships/image" Target="media/image84.png"/><Relationship Id="rId87" Type="http://schemas.openxmlformats.org/officeDocument/2006/relationships/image" Target="media/image83.png"/><Relationship Id="rId86" Type="http://schemas.openxmlformats.org/officeDocument/2006/relationships/image" Target="media/image82.png"/><Relationship Id="rId85" Type="http://schemas.openxmlformats.org/officeDocument/2006/relationships/image" Target="media/image81.png"/><Relationship Id="rId84" Type="http://schemas.openxmlformats.org/officeDocument/2006/relationships/image" Target="media/image80.png"/><Relationship Id="rId83" Type="http://schemas.openxmlformats.org/officeDocument/2006/relationships/image" Target="media/image79.png"/><Relationship Id="rId82" Type="http://schemas.openxmlformats.org/officeDocument/2006/relationships/image" Target="media/image78.png"/><Relationship Id="rId81" Type="http://schemas.openxmlformats.org/officeDocument/2006/relationships/image" Target="media/image77.png"/><Relationship Id="rId80" Type="http://schemas.openxmlformats.org/officeDocument/2006/relationships/image" Target="media/image76.png"/><Relationship Id="rId8" Type="http://schemas.openxmlformats.org/officeDocument/2006/relationships/image" Target="media/image4.png"/><Relationship Id="rId79" Type="http://schemas.openxmlformats.org/officeDocument/2006/relationships/image" Target="media/image75.png"/><Relationship Id="rId78" Type="http://schemas.openxmlformats.org/officeDocument/2006/relationships/image" Target="media/image74.png"/><Relationship Id="rId77" Type="http://schemas.openxmlformats.org/officeDocument/2006/relationships/image" Target="media/image73.png"/><Relationship Id="rId76" Type="http://schemas.openxmlformats.org/officeDocument/2006/relationships/image" Target="media/image72.png"/><Relationship Id="rId75" Type="http://schemas.openxmlformats.org/officeDocument/2006/relationships/image" Target="media/image71.png"/><Relationship Id="rId74" Type="http://schemas.openxmlformats.org/officeDocument/2006/relationships/image" Target="media/image70.png"/><Relationship Id="rId73" Type="http://schemas.openxmlformats.org/officeDocument/2006/relationships/image" Target="media/image69.png"/><Relationship Id="rId72" Type="http://schemas.openxmlformats.org/officeDocument/2006/relationships/image" Target="media/image68.png"/><Relationship Id="rId71" Type="http://schemas.openxmlformats.org/officeDocument/2006/relationships/image" Target="media/image67.png"/><Relationship Id="rId70" Type="http://schemas.openxmlformats.org/officeDocument/2006/relationships/image" Target="media/image66.png"/><Relationship Id="rId7" Type="http://schemas.openxmlformats.org/officeDocument/2006/relationships/image" Target="media/image3.png"/><Relationship Id="rId69" Type="http://schemas.openxmlformats.org/officeDocument/2006/relationships/image" Target="media/image65.png"/><Relationship Id="rId68" Type="http://schemas.openxmlformats.org/officeDocument/2006/relationships/image" Target="media/image64.png"/><Relationship Id="rId67" Type="http://schemas.openxmlformats.org/officeDocument/2006/relationships/image" Target="media/image63.png"/><Relationship Id="rId66" Type="http://schemas.openxmlformats.org/officeDocument/2006/relationships/image" Target="media/image62.png"/><Relationship Id="rId65" Type="http://schemas.openxmlformats.org/officeDocument/2006/relationships/image" Target="media/image61.png"/><Relationship Id="rId64" Type="http://schemas.openxmlformats.org/officeDocument/2006/relationships/image" Target="media/image60.png"/><Relationship Id="rId63" Type="http://schemas.openxmlformats.org/officeDocument/2006/relationships/image" Target="media/image59.png"/><Relationship Id="rId62" Type="http://schemas.openxmlformats.org/officeDocument/2006/relationships/image" Target="media/image58.png"/><Relationship Id="rId61" Type="http://schemas.openxmlformats.org/officeDocument/2006/relationships/image" Target="media/image57.png"/><Relationship Id="rId60" Type="http://schemas.openxmlformats.org/officeDocument/2006/relationships/image" Target="media/image56.png"/><Relationship Id="rId6" Type="http://schemas.openxmlformats.org/officeDocument/2006/relationships/image" Target="media/image2.png"/><Relationship Id="rId59" Type="http://schemas.openxmlformats.org/officeDocument/2006/relationships/image" Target="media/image55.png"/><Relationship Id="rId58" Type="http://schemas.openxmlformats.org/officeDocument/2006/relationships/image" Target="media/image54.png"/><Relationship Id="rId57" Type="http://schemas.openxmlformats.org/officeDocument/2006/relationships/image" Target="media/image53.png"/><Relationship Id="rId56" Type="http://schemas.openxmlformats.org/officeDocument/2006/relationships/image" Target="media/image52.png"/><Relationship Id="rId55" Type="http://schemas.openxmlformats.org/officeDocument/2006/relationships/image" Target="media/image51.png"/><Relationship Id="rId54" Type="http://schemas.openxmlformats.org/officeDocument/2006/relationships/image" Target="media/image50.png"/><Relationship Id="rId53" Type="http://schemas.openxmlformats.org/officeDocument/2006/relationships/image" Target="media/image49.png"/><Relationship Id="rId52" Type="http://schemas.openxmlformats.org/officeDocument/2006/relationships/image" Target="media/image48.png"/><Relationship Id="rId51" Type="http://schemas.openxmlformats.org/officeDocument/2006/relationships/image" Target="media/image47.png"/><Relationship Id="rId50" Type="http://schemas.openxmlformats.org/officeDocument/2006/relationships/image" Target="media/image46.png"/><Relationship Id="rId5" Type="http://schemas.openxmlformats.org/officeDocument/2006/relationships/image" Target="media/image1.png"/><Relationship Id="rId49" Type="http://schemas.openxmlformats.org/officeDocument/2006/relationships/image" Target="media/image45.png"/><Relationship Id="rId48" Type="http://schemas.openxmlformats.org/officeDocument/2006/relationships/image" Target="media/image44.png"/><Relationship Id="rId47" Type="http://schemas.openxmlformats.org/officeDocument/2006/relationships/image" Target="media/image43.png"/><Relationship Id="rId46" Type="http://schemas.openxmlformats.org/officeDocument/2006/relationships/image" Target="media/image42.png"/><Relationship Id="rId45" Type="http://schemas.openxmlformats.org/officeDocument/2006/relationships/image" Target="media/image41.png"/><Relationship Id="rId44" Type="http://schemas.openxmlformats.org/officeDocument/2006/relationships/image" Target="media/image40.png"/><Relationship Id="rId43" Type="http://schemas.openxmlformats.org/officeDocument/2006/relationships/image" Target="media/image39.png"/><Relationship Id="rId42" Type="http://schemas.openxmlformats.org/officeDocument/2006/relationships/image" Target="media/image38.png"/><Relationship Id="rId41" Type="http://schemas.openxmlformats.org/officeDocument/2006/relationships/image" Target="media/image37.png"/><Relationship Id="rId40" Type="http://schemas.openxmlformats.org/officeDocument/2006/relationships/image" Target="media/image36.png"/><Relationship Id="rId4" Type="http://schemas.openxmlformats.org/officeDocument/2006/relationships/theme" Target="theme/theme1.xml"/><Relationship Id="rId39" Type="http://schemas.openxmlformats.org/officeDocument/2006/relationships/image" Target="media/image35.png"/><Relationship Id="rId38" Type="http://schemas.openxmlformats.org/officeDocument/2006/relationships/image" Target="media/image34.png"/><Relationship Id="rId37" Type="http://schemas.openxmlformats.org/officeDocument/2006/relationships/image" Target="media/image33.png"/><Relationship Id="rId36" Type="http://schemas.openxmlformats.org/officeDocument/2006/relationships/image" Target="media/image32.png"/><Relationship Id="rId35" Type="http://schemas.openxmlformats.org/officeDocument/2006/relationships/image" Target="media/image31.png"/><Relationship Id="rId34" Type="http://schemas.openxmlformats.org/officeDocument/2006/relationships/image" Target="media/image30.png"/><Relationship Id="rId33" Type="http://schemas.openxmlformats.org/officeDocument/2006/relationships/image" Target="media/image29.png"/><Relationship Id="rId32" Type="http://schemas.openxmlformats.org/officeDocument/2006/relationships/image" Target="media/image28.png"/><Relationship Id="rId31" Type="http://schemas.openxmlformats.org/officeDocument/2006/relationships/image" Target="media/image27.png"/><Relationship Id="rId30" Type="http://schemas.openxmlformats.org/officeDocument/2006/relationships/image" Target="media/image26.png"/><Relationship Id="rId3" Type="http://schemas.openxmlformats.org/officeDocument/2006/relationships/footer" Target="footer1.xml"/><Relationship Id="rId29" Type="http://schemas.openxmlformats.org/officeDocument/2006/relationships/image" Target="media/image25.png"/><Relationship Id="rId28" Type="http://schemas.openxmlformats.org/officeDocument/2006/relationships/image" Target="media/image24.png"/><Relationship Id="rId27" Type="http://schemas.openxmlformats.org/officeDocument/2006/relationships/image" Target="media/image23.png"/><Relationship Id="rId26" Type="http://schemas.openxmlformats.org/officeDocument/2006/relationships/image" Target="media/image22.png"/><Relationship Id="rId25" Type="http://schemas.openxmlformats.org/officeDocument/2006/relationships/image" Target="media/image21.png"/><Relationship Id="rId24" Type="http://schemas.openxmlformats.org/officeDocument/2006/relationships/image" Target="media/image20.png"/><Relationship Id="rId23" Type="http://schemas.openxmlformats.org/officeDocument/2006/relationships/image" Target="media/image19.png"/><Relationship Id="rId22" Type="http://schemas.openxmlformats.org/officeDocument/2006/relationships/image" Target="media/image18.png"/><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1962</Words>
  <Characters>11185</Characters>
  <Lines>93</Lines>
  <Paragraphs>26</Paragraphs>
  <ScaleCrop>false</ScaleCrop>
  <LinksUpToDate>false</LinksUpToDate>
  <CharactersWithSpaces>13121</CharactersWithSpaces>
  <Application>WPS Office_10.1.0.6135_F1E327BC-269C-435d-A152-05C5408002CA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2015-02-07T12:15:00Z</dcterms:created>
  <dc:creator>郭</dc:creator>
  <cp:lastModifiedBy>Administrator</cp:lastModifiedBy>
  <cp:lastPrinted>2016-12-21T05:39:24Z</cp:lastPrinted>
  <dcterms:modified xsi:type="dcterms:W3CDTF">2016-12-21T08:44:01Z</dcterms:modified>
  <dc:title>2013年教育部哲学社会科学研究重大课题攻关项目子课题群子课题：</dc:title>
  <cp:revision>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